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EC42F6">
      <w:pPr>
        <w:pStyle w:val="4"/>
        <w:spacing w:before="0" w:after="0" w:line="240" w:lineRule="auto"/>
        <w:jc w:val="center"/>
        <w:rPr>
          <w:rFonts w:hint="eastAsia"/>
        </w:rPr>
      </w:pPr>
      <w:r>
        <w:rPr>
          <w:rFonts w:hint="eastAsia"/>
        </w:rPr>
        <w:t>《</w:t>
      </w:r>
      <w:bookmarkStart w:id="0" w:name="_Hlk172013970"/>
      <w:r>
        <w:t>糖尿病</w:t>
      </w:r>
      <w:r>
        <w:rPr>
          <w:rFonts w:hint="eastAsia"/>
          <w:color w:val="auto"/>
        </w:rPr>
        <w:t>和高血压</w:t>
      </w:r>
      <w:r>
        <w:rPr>
          <w:color w:val="auto"/>
        </w:rPr>
        <w:t>健康医疗数据接口与</w:t>
      </w:r>
      <w:r>
        <w:rPr>
          <w:color w:val="auto"/>
        </w:rPr>
        <w:cr/>
      </w:r>
      <w:r>
        <w:rPr>
          <w:color w:val="auto"/>
        </w:rPr>
        <w:t>数据传输技术规</w:t>
      </w:r>
      <w:r>
        <w:t>范</w:t>
      </w:r>
      <w:bookmarkEnd w:id="0"/>
      <w:r>
        <w:rPr>
          <w:rFonts w:hint="eastAsia"/>
        </w:rPr>
        <w:t>》地方标准编制说明</w:t>
      </w:r>
    </w:p>
    <w:p w14:paraId="37D315D6"/>
    <w:p w14:paraId="79D1BD31">
      <w:pPr>
        <w:ind w:firstLine="420"/>
      </w:pPr>
    </w:p>
    <w:p w14:paraId="7E53FB3B">
      <w:pPr>
        <w:pStyle w:val="5"/>
      </w:pPr>
      <w:r>
        <w:rPr>
          <w:rFonts w:hint="eastAsia"/>
        </w:rPr>
        <w:t>目的意义</w:t>
      </w:r>
    </w:p>
    <w:p w14:paraId="76D9FF24">
      <w:pPr>
        <w:pStyle w:val="6"/>
      </w:pPr>
      <w:r>
        <w:rPr>
          <w:rFonts w:hint="eastAsia"/>
        </w:rPr>
        <w:t>1.产业发展现状</w:t>
      </w:r>
    </w:p>
    <w:p w14:paraId="241DF9E5">
      <w:pPr>
        <w:ind w:firstLine="420"/>
      </w:pPr>
      <w:r>
        <w:rPr>
          <w:rFonts w:hint="eastAsia"/>
          <w:color w:val="auto"/>
        </w:rPr>
        <w:t>糖尿病</w:t>
      </w:r>
      <w:r>
        <w:rPr>
          <w:rFonts w:hint="eastAsia"/>
          <w:color w:val="auto"/>
          <w:lang w:val="en-US" w:eastAsia="zh-CN"/>
        </w:rPr>
        <w:t>和高血压</w:t>
      </w:r>
      <w:r>
        <w:rPr>
          <w:color w:val="auto"/>
        </w:rPr>
        <w:t>不仅严重影响患者的生活质量，而且给患者和社会带来了沉重的经济负担，也是导致患者死亡的重要因素。</w:t>
      </w:r>
      <w:r>
        <w:rPr>
          <w:rFonts w:hint="eastAsia"/>
          <w:lang w:val="en-US" w:eastAsia="zh-CN"/>
        </w:rPr>
        <w:t>二者</w:t>
      </w:r>
      <w:r>
        <w:rPr>
          <w:rFonts w:hint="eastAsia"/>
        </w:rPr>
        <w:t>属于慢性病，具有病程长、并发症种类多、需要患者自我管理等特点，导致糖尿病和高血压数据的互联互通具有很高的难度：一是多源性：糖尿病和高血压数据涉及到不同医院、同一医院内部不同的科室，不同的医疗设备厂商，还包括院外的患者自我监测数据等，而且在较长的病程中，这些数据源还会发生变化。二是异构性：即糖尿病和高血压数据的类型是多种多样的，涉及到数字、文字、图像、视频等多种不同的类型。三是可扩展性：糖尿病和高血压需要通过患者长期的运动、饮食、监测、心理等多方面的自我管理来预防疾病恶化，因此除了院内数据外，还要扩展到院外的大量数据，例如患者居家上传的血糖数据。</w:t>
      </w:r>
    </w:p>
    <w:p w14:paraId="2D089CBC">
      <w:pPr>
        <w:ind w:firstLine="420"/>
      </w:pPr>
      <w:r>
        <w:rPr>
          <w:rFonts w:hint="eastAsia"/>
        </w:rPr>
        <w:t>随着智能医疗体系与数字化技术的快速发展，数字化医疗已被广泛应用于糖尿病和高血压的预防、诊断、治疗和康复管理中。这包括使用机器学习模型进行病症预测，临床决策支持系统的开发，以及利用应用程序收集和分析患者行为数据，提供个性化管理方案。在预防环节，研究人员通过建立预测模型，挖掘出哪些风险因素可能会导致糖尿病和高血压或其并发症的发生，目前已经用于预测的风险因素包括体力活动、吸烟，年龄，教育，BMI，收缩压 、舒张压，基因数据等；在治疗环节，研究人员通过机器学习开发出临床决策支持系统，试图提供精准的个性化治疗方案，以提高治疗的质量或效率；在康复管理环节，研究人员使用应用程序来搜集患者的饮食、运动、睡眠、心理等各种行为数据，以此来提供个性化的患者管理方案，并且很多数字化技术已经落地应用，为医院和患者带来明显的效果。但是，数字化技术的基础在于获取全面的数据，例如风险预测模型、临床决策支持系统以及患者的个性化管理方案，其基础就在于能够获取糖尿病和高血压患者的全维度数据。因此数据的互联互通成为国家及地方各级卫生政府部门重要的关注点。</w:t>
      </w:r>
    </w:p>
    <w:p w14:paraId="3E71AA45">
      <w:pPr>
        <w:pStyle w:val="6"/>
        <w:numPr>
          <w:ilvl w:val="0"/>
          <w:numId w:val="3"/>
        </w:numPr>
      </w:pPr>
      <w:r>
        <w:rPr>
          <w:rFonts w:hint="eastAsia"/>
        </w:rPr>
        <w:t>制定标准的必要性</w:t>
      </w:r>
    </w:p>
    <w:p w14:paraId="299DE7F8">
      <w:pPr>
        <w:ind w:firstLine="420"/>
      </w:pPr>
      <w:r>
        <w:rPr>
          <w:rFonts w:hint="eastAsia"/>
        </w:rPr>
        <w:t>伴随着标准化的推进，各地已开始实施与数据传输和访问接口相关的规范，这些努力旨在统一和规范数据格式，促进不同系统间的数据共享。2010年《电子病历管理基本规范》正式实施，规范了信息系统生成的文字符号、图表图形、数据影像等数字化信息的存储、管理、传输和重现，奠定了医疗数据交互的基础。2016年《“健康中国2030”规划纲要》明确提出要“消除数据壁垒，建立跨部门跨领域密切配合、统一归口的健康医疗数据共享机制”。2018年国务院办公厅发布《促进“互联网+医疗健康”发展的意见》（国办发〔2018〕26号），明确“要协调推进统一权威、互联互通的全民健康信息平台建设，逐步实现与国家数据共享交换平台的对接联通，</w:t>
      </w:r>
      <w:r>
        <w:rPr>
          <w:rFonts w:hint="eastAsia"/>
          <w:color w:val="333333"/>
          <w:shd w:val="clear" w:color="auto" w:fill="FFFFFF"/>
        </w:rPr>
        <w:t>强化人口、公共卫生、医疗服务、医疗保障、药品供应、综合管理等数据采集</w:t>
      </w:r>
      <w:r>
        <w:rPr>
          <w:rFonts w:hint="eastAsia"/>
        </w:rPr>
        <w:t>，畅通部门、区域、行业之间的数据共享通道，促进全民健康信息共享应用”，“统一数据接口，为信息互通共享提供支撑”。2020年，国家卫生健康委统计信息中心发布《医院信息互联互通标准化成熟度测评方案（2020年版）》，构建了一套科学的、系统的医院信息互联互通标准化成熟度分级评价技术体系、方法和工具，为医疗卫生机构之间标准化互联互通和信息共享提供技术保障。</w:t>
      </w:r>
    </w:p>
    <w:p w14:paraId="29D8D2D6">
      <w:pPr>
        <w:ind w:firstLine="420"/>
      </w:pPr>
      <w:r>
        <w:rPr>
          <w:rFonts w:hint="eastAsia"/>
        </w:rPr>
        <w:t>1.对于医院方，该标准</w:t>
      </w:r>
      <w:r>
        <w:rPr>
          <w:rFonts w:hint="eastAsia"/>
          <w:color w:val="auto"/>
        </w:rPr>
        <w:t>明确了糖尿病和高血压数据接口要求、数据传输规范，这有助于医院在信息系统平台的设计和建设过程中，有明确的标准可以遵从</w:t>
      </w:r>
      <w:r>
        <w:rPr>
          <w:rFonts w:hint="eastAsia"/>
        </w:rPr>
        <w:t>；对于医院的信息化评级有重要价值。</w:t>
      </w:r>
    </w:p>
    <w:p w14:paraId="7E1D28FD">
      <w:pPr>
        <w:ind w:firstLine="420"/>
      </w:pPr>
      <w:r>
        <w:rPr>
          <w:rFonts w:hint="eastAsia"/>
        </w:rPr>
        <w:t>2.对于医护人员，该标准打通了医院之间、医院与患者之间、以及医院与厂商之间的数据共享壁垒，方便医护人员获取患者的更多数据；从而能够更加全面地了解糖尿病和高血压患者的疾病进展情况，以做出更加精准的治疗和管理决策。</w:t>
      </w:r>
    </w:p>
    <w:p w14:paraId="3FBA7C87">
      <w:pPr>
        <w:ind w:firstLine="420"/>
      </w:pPr>
      <w:r>
        <w:rPr>
          <w:rFonts w:hint="eastAsia"/>
        </w:rPr>
        <w:t>3.对于患者，该标准方便了自测数据与医院数据的打通，能够更容易地与医护共享数据，减轻了数据记录与沟通的负担；更重要的是，在医生拥有全面数据的基础上，患者能够获得更加精准的治疗和管理方案，有助于依从性的提高与疾病的康复。</w:t>
      </w:r>
    </w:p>
    <w:p w14:paraId="70482261">
      <w:pPr>
        <w:ind w:firstLine="420"/>
      </w:pPr>
      <w:r>
        <w:rPr>
          <w:rFonts w:hint="eastAsia"/>
        </w:rPr>
        <w:t>综上，糖尿病和高血压健康医疗</w:t>
      </w:r>
      <w:r>
        <w:rPr>
          <w:rFonts w:hint="eastAsia"/>
          <w:lang w:eastAsia="zh-CN"/>
        </w:rPr>
        <w:t>数据</w:t>
      </w:r>
      <w:r>
        <w:rPr>
          <w:rFonts w:hint="eastAsia"/>
        </w:rPr>
        <w:t>接口与数据传输标准的建立，将解决糖尿病和高血压数字化技术发展的基础性数据问题，满足医院、医护人员、患者等各方的需求。制定全面且细化的数据标准和接口规范，可以解决当前存在的数据集成问题，特别是对于糖尿病和高血压患者的院外自测数据的整合。通过数据的标准化和互联互通，可以有效提升疾病预防和管理的精准度，减少并发症发生率和治疗成本。因此，本标准具有重要的价值和紧迫性。</w:t>
      </w:r>
    </w:p>
    <w:p w14:paraId="1A5BCD31">
      <w:pPr>
        <w:pStyle w:val="6"/>
        <w:numPr>
          <w:ilvl w:val="0"/>
          <w:numId w:val="3"/>
        </w:numPr>
      </w:pPr>
      <w:r>
        <w:rPr>
          <w:rFonts w:hint="eastAsia"/>
        </w:rPr>
        <w:t>可行性分析</w:t>
      </w:r>
    </w:p>
    <w:p w14:paraId="4EDB7E48">
      <w:pPr>
        <w:ind w:firstLine="420"/>
      </w:pPr>
      <w:r>
        <w:rPr>
          <w:rFonts w:hint="eastAsia"/>
        </w:rPr>
        <w:t>现有的技术和已实施的政策框架为建立更高级别的数据互通标准提供了坚实的基础。面对全国范围内健康医疗数据共享机制的逐步完善，江苏省卫生健康委员会于2021年制定了《互联网医疗平台基本数据集规范》，旨在统一数字化医疗服务的元数据属性，规范不同场景下的健康医疗数据，打通不同数字化平台间的医疗数据隔阂。国家层面的政策倾向已明确支持健康信息的数字化和互联互通，提供了政策推动的可行性。</w:t>
      </w:r>
    </w:p>
    <w:p w14:paraId="558873CF">
      <w:pPr>
        <w:ind w:firstLine="420"/>
      </w:pPr>
      <w:r>
        <w:rPr>
          <w:rFonts w:hint="eastAsia"/>
        </w:rPr>
        <w:t>通过对现有的政策和各级标准的梳理可以发现，现有的关于电子病历数据集、平台共享规范等标准中，涉及到少部分糖尿病和高血压相关标准，但</w:t>
      </w:r>
      <w:r>
        <w:rPr>
          <w:rFonts w:hint="eastAsia"/>
          <w:b/>
          <w:bCs/>
        </w:rPr>
        <w:t>当前的标准存在两方面问题：一是聚焦于数据集本身，而较少涉及到数据集之间的交互共享；二是规定的颗粒度较粗且不完整，没有涉及到院外患者自测的数据。因</w:t>
      </w:r>
      <w:r>
        <w:rPr>
          <w:rFonts w:hint="eastAsia"/>
          <w:b/>
          <w:bCs/>
          <w:color w:val="auto"/>
        </w:rPr>
        <w:t>此，需要有一个专门标准、以更细的颗粒度作更精确的、更完整的描述与规范。总之，由于糖尿病和高血压数据本身的特点，</w:t>
      </w:r>
      <w:r>
        <w:rPr>
          <w:rFonts w:hint="eastAsia"/>
          <w:b/>
          <w:bCs/>
          <w:color w:val="auto"/>
          <w:lang w:val="en-US" w:eastAsia="zh-CN"/>
        </w:rPr>
        <w:t>二者的</w:t>
      </w:r>
      <w:r>
        <w:rPr>
          <w:rFonts w:hint="eastAsia"/>
          <w:b/>
          <w:bCs/>
          <w:color w:val="auto"/>
        </w:rPr>
        <w:t>数据互联互通的难度较高；</w:t>
      </w:r>
      <w:r>
        <w:rPr>
          <w:rFonts w:hint="eastAsia"/>
          <w:color w:val="auto"/>
        </w:rPr>
        <w:t>但是互联互通是促进糖尿病和高血压数字化技术发展的基石，有助于解决当前糖尿病和高血压疾病负担重、患者依从性差等众多难题。因此，亟需建立起糖尿病和高血压健康医疗</w:t>
      </w:r>
      <w:r>
        <w:rPr>
          <w:rFonts w:hint="eastAsia"/>
          <w:color w:val="auto"/>
          <w:lang w:eastAsia="zh-CN"/>
        </w:rPr>
        <w:t>数据</w:t>
      </w:r>
      <w:r>
        <w:rPr>
          <w:rFonts w:hint="eastAsia"/>
          <w:color w:val="auto"/>
        </w:rPr>
        <w:t>接口与数据传输标准，以实现糖尿病和高血压数据的多方互联互通，从而为充分挖掘数据的价值奠定基础。</w:t>
      </w:r>
    </w:p>
    <w:p w14:paraId="6ECFBC5D">
      <w:pPr>
        <w:pStyle w:val="6"/>
        <w:numPr>
          <w:ilvl w:val="0"/>
          <w:numId w:val="3"/>
        </w:numPr>
      </w:pPr>
      <w:r>
        <w:rPr>
          <w:rFonts w:hint="eastAsia"/>
        </w:rPr>
        <w:t>预期经济社会效益</w:t>
      </w:r>
    </w:p>
    <w:p w14:paraId="327A38C4">
      <w:pPr>
        <w:ind w:firstLine="420"/>
      </w:pPr>
      <w:r>
        <w:rPr>
          <w:rFonts w:hint="eastAsia"/>
        </w:rPr>
        <w:t>通过建立糖尿病和高血压数据互联互通，以及实施规范化的慢性病数字平台接口与传输规范，慢病治疗诊断系统可以显著改善病情管理，从而降低医疗成本，特别是在处理糖尿病和高血压及其并发症时的长期费用。通过规范化的数据处理，医疗提供者能够更有效地追踪病程，预测并发症风险，并及时调整治疗方案，从而减少不必要的医疗干预和药物使用。</w:t>
      </w:r>
    </w:p>
    <w:p w14:paraId="15E09025">
      <w:pPr>
        <w:ind w:firstLine="420"/>
      </w:pPr>
      <w:r>
        <w:rPr>
          <w:rFonts w:hint="eastAsia"/>
        </w:rPr>
        <w:t>同时，实现统一的数据接口标准对于改善公共卫生状况至关重要。这些标准不仅能确保信息在不同医疗系统之间准确无误地传递，还能支持更广泛的流行病学研究和公共卫生监测。此外，统一的数据接口有助于提高糖尿病和高血压患者的生活质量，使他们能够更好地管理自己的健康状况，从而减少了疾病对个人生活的影响。这种数据的互联互通还能够减轻社会医疗体系的总体负担，有助于实现资源的最优配置和使用，特别是在资源紧张的社区卫生医疗体系中。</w:t>
      </w:r>
    </w:p>
    <w:p w14:paraId="6306A638">
      <w:pPr>
        <w:ind w:firstLine="420"/>
      </w:pPr>
      <w:r>
        <w:rPr>
          <w:rFonts w:hint="eastAsia"/>
        </w:rPr>
        <w:t>此外，标准化的数据接口和传输规范极大地促进了科研工作的数据共享与协作。研究人员可以更容易地访问和利用来自不同来源的数据集，从而加速糖尿病和高血压及其并发症的研究进展。这种数据的可用性对于开发新的治疗方法、药物和技术至关重要，可以更快地将研究成果转化为临床实践，提供更有效的治疗选项。例如，通过分析大规模的健康数据，研究人员能够改进现有的预测模型，或发现未被充分利用的治疗途径。</w:t>
      </w:r>
    </w:p>
    <w:p w14:paraId="112396D3">
      <w:pPr>
        <w:ind w:firstLine="420"/>
      </w:pPr>
      <w:r>
        <w:rPr>
          <w:rFonts w:hint="eastAsia"/>
        </w:rPr>
        <w:t>综上所述，通过实现糖尿病和高血压数据的标准化互联互通，不仅可以改善患者的医疗服务质量和生活质量，还可以降低整个社会的医疗成本，并加速医学研究的进步，为未来的创新打下坚实的基础。这些努力共同推动了医疗健康领域向更高效、更精准、更人性化的服务转型。</w:t>
      </w:r>
    </w:p>
    <w:p w14:paraId="1D5DE662">
      <w:pPr>
        <w:pStyle w:val="5"/>
      </w:pPr>
      <w:r>
        <w:rPr>
          <w:rFonts w:hint="eastAsia"/>
        </w:rPr>
        <w:t>任务来源</w:t>
      </w:r>
    </w:p>
    <w:p w14:paraId="365C0D40">
      <w:pPr>
        <w:ind w:firstLine="420"/>
      </w:pPr>
      <w:r>
        <w:rPr>
          <w:rFonts w:hint="eastAsia"/>
        </w:rPr>
        <w:t>2023年8月，根据省市场监管局《关于下达 2023 年度江苏省地方标准项目计划的通知》【苏市监标〔2023〕173号】文件精神，同意编制本标准。</w:t>
      </w:r>
    </w:p>
    <w:p w14:paraId="04752D51">
      <w:pPr>
        <w:ind w:firstLine="420"/>
      </w:pPr>
      <w:r>
        <w:rPr>
          <w:rFonts w:hint="eastAsia"/>
          <w:b/>
          <w:bCs/>
        </w:rPr>
        <w:t>标题修改说明</w:t>
      </w:r>
      <w:r>
        <w:rPr>
          <w:rFonts w:hint="eastAsia"/>
        </w:rPr>
        <w:t>：本标准在专家函评和预审会中，根据专家提出的修改建议，以及根据实际使用情况，本项目将标题改为《</w:t>
      </w:r>
      <w:r>
        <w:t>糖尿病</w:t>
      </w:r>
      <w:r>
        <w:rPr>
          <w:rFonts w:hint="eastAsia"/>
        </w:rPr>
        <w:t>和高血压</w:t>
      </w:r>
      <w:r>
        <w:t>健康医疗数据接口与数据传输技术规范</w:t>
      </w:r>
      <w:r>
        <w:rPr>
          <w:rFonts w:hint="eastAsia"/>
        </w:rPr>
        <w:t>》</w:t>
      </w:r>
      <w:r>
        <w:rPr>
          <w:rFonts w:hint="eastAsia"/>
          <w:lang w:eastAsia="zh-CN"/>
        </w:rPr>
        <w:t>，</w:t>
      </w:r>
      <w:r>
        <w:rPr>
          <w:rFonts w:hint="eastAsia"/>
          <w:lang w:val="en-US" w:eastAsia="zh-CN"/>
        </w:rPr>
        <w:t>在原有标题的基础上增加了“高血压”，删除了“平台”</w:t>
      </w:r>
      <w:r>
        <w:rPr>
          <w:rFonts w:hint="eastAsia"/>
        </w:rPr>
        <w:t>。</w:t>
      </w:r>
    </w:p>
    <w:p w14:paraId="1E582078">
      <w:pPr>
        <w:ind w:firstLine="420"/>
      </w:pPr>
      <w:r>
        <w:rPr>
          <w:rFonts w:hint="eastAsia"/>
          <w:b/>
          <w:bCs/>
        </w:rPr>
        <w:t>起草单位变更说明</w:t>
      </w:r>
      <w:r>
        <w:rPr>
          <w:rFonts w:hint="eastAsia"/>
        </w:rPr>
        <w:t>：江苏省卫生统计信息中心拥有丰富的标准制定和推广实施经验，在本标准的制定过程中贡献较大，因此增加江苏省卫生统计信息中心为本标准的第三家起草单位。</w:t>
      </w:r>
    </w:p>
    <w:p w14:paraId="35E25D3B">
      <w:pPr>
        <w:pStyle w:val="5"/>
      </w:pPr>
      <w:r>
        <w:rPr>
          <w:rFonts w:hint="eastAsia"/>
        </w:rPr>
        <w:t>编制过程</w:t>
      </w:r>
    </w:p>
    <w:p w14:paraId="481F7EC5">
      <w:pPr>
        <w:numPr>
          <w:ilvl w:val="0"/>
          <w:numId w:val="2"/>
        </w:numPr>
        <w:ind w:firstLine="420"/>
      </w:pPr>
      <w:r>
        <w:rPr>
          <w:rFonts w:hint="eastAsia"/>
        </w:rPr>
        <w:t>调研。2023年3月成立标准编制组，2023年3月到2023年8月进行实地走访调研，明确标准编制需求与相关现行标准。</w:t>
      </w:r>
    </w:p>
    <w:p w14:paraId="7B4F1957">
      <w:pPr>
        <w:numPr>
          <w:ilvl w:val="0"/>
          <w:numId w:val="2"/>
        </w:numPr>
        <w:ind w:firstLine="420"/>
        <w:rPr>
          <w:color w:val="auto"/>
        </w:rPr>
      </w:pPr>
      <w:r>
        <w:rPr>
          <w:rFonts w:hint="eastAsia"/>
        </w:rPr>
        <w:t>专家研讨。2023年9月联合南京大学健康医疗大数据研究院、南京市卫生健康委员会专家进行标准技术细则相关研讨，结</w:t>
      </w:r>
      <w:r>
        <w:rPr>
          <w:rFonts w:hint="eastAsia"/>
          <w:color w:val="auto"/>
        </w:rPr>
        <w:t>合国内外、地方标准明确规范技术说明。</w:t>
      </w:r>
    </w:p>
    <w:p w14:paraId="248C0D47">
      <w:pPr>
        <w:numPr>
          <w:ilvl w:val="0"/>
          <w:numId w:val="2"/>
        </w:numPr>
        <w:ind w:firstLine="420"/>
        <w:rPr>
          <w:color w:val="auto"/>
        </w:rPr>
      </w:pPr>
      <w:r>
        <w:rPr>
          <w:rFonts w:hint="eastAsia"/>
          <w:color w:val="auto"/>
        </w:rPr>
        <w:t>试点服务。2023年10-11月在南京市栖霞区的社区卫生服务中心展开试点实验，检验标准实用性与可靠性。</w:t>
      </w:r>
    </w:p>
    <w:p w14:paraId="2BE61B36">
      <w:pPr>
        <w:numPr>
          <w:ilvl w:val="0"/>
          <w:numId w:val="2"/>
        </w:numPr>
        <w:ind w:firstLine="420"/>
        <w:rPr>
          <w:color w:val="auto"/>
        </w:rPr>
      </w:pPr>
      <w:r>
        <w:rPr>
          <w:rFonts w:hint="eastAsia"/>
          <w:color w:val="auto"/>
        </w:rPr>
        <w:t>编制标准大纲。主编 2024年2月底完成《</w:t>
      </w:r>
      <w:r>
        <w:rPr>
          <w:color w:val="auto"/>
        </w:rPr>
        <w:t>糖尿病</w:t>
      </w:r>
      <w:r>
        <w:rPr>
          <w:rFonts w:hint="eastAsia"/>
          <w:color w:val="auto"/>
        </w:rPr>
        <w:t>和高血压</w:t>
      </w:r>
      <w:r>
        <w:rPr>
          <w:color w:val="auto"/>
        </w:rPr>
        <w:t>健康医疗数据接口与数据传输技术规范</w:t>
      </w:r>
      <w:r>
        <w:rPr>
          <w:rFonts w:hint="eastAsia"/>
          <w:color w:val="auto"/>
        </w:rPr>
        <w:t>》编制大纲(第一版)。</w:t>
      </w:r>
    </w:p>
    <w:p w14:paraId="35AEA5DC">
      <w:pPr>
        <w:numPr>
          <w:ilvl w:val="0"/>
          <w:numId w:val="2"/>
        </w:numPr>
        <w:ind w:firstLine="420"/>
      </w:pPr>
      <w:r>
        <w:rPr>
          <w:rFonts w:hint="eastAsia"/>
          <w:color w:val="auto"/>
        </w:rPr>
        <w:t>征求意见稿。主编 2024年4月底完成《</w:t>
      </w:r>
      <w:r>
        <w:rPr>
          <w:color w:val="auto"/>
        </w:rPr>
        <w:t>糖尿病</w:t>
      </w:r>
      <w:r>
        <w:rPr>
          <w:rFonts w:hint="eastAsia"/>
          <w:color w:val="auto"/>
        </w:rPr>
        <w:t>和高血压</w:t>
      </w:r>
      <w:r>
        <w:rPr>
          <w:color w:val="auto"/>
        </w:rPr>
        <w:t>健康医疗数据接口与数据传输技术规范</w:t>
      </w:r>
      <w:r>
        <w:rPr>
          <w:rFonts w:hint="eastAsia"/>
          <w:color w:val="auto"/>
        </w:rPr>
        <w:t>》编制说明、征求意见稿。</w:t>
      </w:r>
    </w:p>
    <w:p w14:paraId="7FE52B9B">
      <w:pPr>
        <w:numPr>
          <w:ilvl w:val="0"/>
          <w:numId w:val="2"/>
        </w:numPr>
        <w:ind w:firstLine="420"/>
        <w:rPr>
          <w:szCs w:val="21"/>
        </w:rPr>
      </w:pPr>
      <w:r>
        <w:rPr>
          <w:rFonts w:hint="eastAsia"/>
        </w:rPr>
        <w:t>征求专家意见。2024年5月起征求专家意见，发送“征求意见稿”的专家数22个，收到“征求意见稿”后，回函的专家数20个，提出意见20条；通过研讨会、专家咨询会</w:t>
      </w:r>
      <w:r>
        <w:rPr>
          <w:rFonts w:hint="eastAsia"/>
          <w:lang w:val="en-US" w:eastAsia="zh-CN"/>
        </w:rPr>
        <w:t>获得</w:t>
      </w:r>
      <w:r>
        <w:rPr>
          <w:rFonts w:hint="eastAsia"/>
        </w:rPr>
        <w:t>征求意见3条。共收到意见23条，其中采纳 22  条，部分采纳0条，不采纳</w:t>
      </w:r>
      <w:r>
        <w:rPr>
          <w:rFonts w:hint="eastAsia"/>
          <w:lang w:val="en-US" w:eastAsia="zh-CN"/>
        </w:rPr>
        <w:t>1</w:t>
      </w:r>
      <w:r>
        <w:rPr>
          <w:rFonts w:hint="eastAsia"/>
        </w:rPr>
        <w:t>条。</w:t>
      </w:r>
      <w:r>
        <w:rPr>
          <w:rFonts w:hint="eastAsia" w:asciiTheme="minorEastAsia" w:hAnsiTheme="minorEastAsia"/>
        </w:rPr>
        <w:t>参与征求意见</w:t>
      </w:r>
      <w:r>
        <w:rPr>
          <w:rFonts w:hint="eastAsia" w:asciiTheme="minorEastAsia" w:hAnsiTheme="minorEastAsia"/>
          <w:lang w:val="en-US" w:eastAsia="zh-CN"/>
        </w:rPr>
        <w:t>或专家咨询会议</w:t>
      </w:r>
      <w:r>
        <w:rPr>
          <w:rFonts w:hint="eastAsia" w:asciiTheme="minorEastAsia" w:hAnsiTheme="minorEastAsia"/>
        </w:rPr>
        <w:t>的单位</w:t>
      </w:r>
      <w:r>
        <w:rPr>
          <w:rFonts w:hint="eastAsia" w:asciiTheme="minorEastAsia" w:hAnsiTheme="minorEastAsia"/>
          <w:lang w:val="en-US" w:eastAsia="zh-CN"/>
        </w:rPr>
        <w:t>科研院所</w:t>
      </w:r>
      <w:r>
        <w:rPr>
          <w:rFonts w:hint="eastAsia" w:asciiTheme="minorEastAsia" w:hAnsiTheme="minorEastAsia"/>
        </w:rPr>
        <w:t>：</w:t>
      </w:r>
      <w:r>
        <w:rPr>
          <w:rFonts w:hint="eastAsia" w:cs="宋体" w:asciiTheme="minorEastAsia" w:hAnsiTheme="minorEastAsia"/>
          <w:kern w:val="0"/>
          <w:szCs w:val="21"/>
        </w:rPr>
        <w:t>东南大学</w:t>
      </w:r>
      <w:r>
        <w:rPr>
          <w:rFonts w:hint="eastAsia" w:cs="宋体" w:asciiTheme="minorEastAsia" w:hAnsiTheme="minorEastAsia"/>
          <w:color w:val="000000"/>
          <w:kern w:val="0"/>
          <w:szCs w:val="21"/>
        </w:rPr>
        <w:t>、</w:t>
      </w:r>
      <w:r>
        <w:rPr>
          <w:rFonts w:hint="eastAsia" w:cs="宋体" w:asciiTheme="minorEastAsia" w:hAnsiTheme="minorEastAsia"/>
          <w:kern w:val="0"/>
          <w:szCs w:val="21"/>
        </w:rPr>
        <w:t>南京航空航天大学</w:t>
      </w:r>
      <w:r>
        <w:rPr>
          <w:rFonts w:hint="eastAsia" w:cs="宋体" w:asciiTheme="minorEastAsia" w:hAnsiTheme="minorEastAsia"/>
          <w:kern w:val="0"/>
          <w:szCs w:val="21"/>
          <w:lang w:eastAsia="zh-CN"/>
        </w:rPr>
        <w:t>；</w:t>
      </w:r>
      <w:r>
        <w:rPr>
          <w:rFonts w:hint="eastAsia" w:cs="宋体" w:asciiTheme="minorEastAsia" w:hAnsiTheme="minorEastAsia"/>
          <w:kern w:val="0"/>
          <w:szCs w:val="21"/>
          <w:lang w:val="en-US" w:eastAsia="zh-CN"/>
        </w:rPr>
        <w:t>有三甲医院：</w:t>
      </w:r>
      <w:r>
        <w:rPr>
          <w:rFonts w:hint="eastAsia" w:cs="宋体" w:asciiTheme="minorEastAsia" w:hAnsiTheme="minorEastAsia"/>
          <w:kern w:val="0"/>
          <w:szCs w:val="21"/>
        </w:rPr>
        <w:t>南京鼓楼医院、东部战区总医院</w:t>
      </w:r>
      <w:r>
        <w:rPr>
          <w:rFonts w:hint="eastAsia" w:cs="宋体" w:asciiTheme="minorEastAsia" w:hAnsiTheme="minorEastAsia"/>
          <w:kern w:val="0"/>
          <w:szCs w:val="21"/>
          <w:lang w:eastAsia="zh-CN"/>
        </w:rPr>
        <w:t>；</w:t>
      </w:r>
      <w:r>
        <w:rPr>
          <w:rFonts w:hint="eastAsia" w:cs="宋体" w:asciiTheme="minorEastAsia" w:hAnsiTheme="minorEastAsia"/>
          <w:kern w:val="0"/>
          <w:szCs w:val="21"/>
          <w:lang w:val="en-US" w:eastAsia="zh-CN"/>
        </w:rPr>
        <w:t>有基层医疗机构：</w:t>
      </w:r>
      <w:r>
        <w:rPr>
          <w:rFonts w:hint="eastAsia" w:cs="宋体" w:asciiTheme="minorEastAsia" w:hAnsiTheme="minorEastAsia"/>
          <w:kern w:val="0"/>
          <w:szCs w:val="21"/>
        </w:rPr>
        <w:t>迈皋桥社区卫生服务中心、南京市鼓楼区宁海路社区卫生服务中心、</w:t>
      </w:r>
      <w:r>
        <w:rPr>
          <w:rFonts w:hint="eastAsia" w:asciiTheme="minorEastAsia" w:hAnsiTheme="minorEastAsia"/>
          <w:szCs w:val="21"/>
        </w:rPr>
        <w:t>南京市秦淮区大光路社区卫生服务中心</w:t>
      </w:r>
      <w:r>
        <w:rPr>
          <w:rFonts w:hint="eastAsia" w:asciiTheme="minorEastAsia" w:hAnsiTheme="minorEastAsia"/>
          <w:szCs w:val="21"/>
          <w:lang w:eastAsia="zh-CN"/>
        </w:rPr>
        <w:t>，</w:t>
      </w:r>
      <w:r>
        <w:rPr>
          <w:rFonts w:hint="eastAsia" w:asciiTheme="minorEastAsia" w:hAnsiTheme="minorEastAsia"/>
          <w:szCs w:val="21"/>
          <w:lang w:val="en-US" w:eastAsia="zh-CN"/>
        </w:rPr>
        <w:t>以及江苏省卫生健康信息中心，</w:t>
      </w:r>
      <w:r>
        <w:rPr>
          <w:rFonts w:hint="eastAsia" w:cs="宋体" w:asciiTheme="minorEastAsia" w:hAnsiTheme="minorEastAsia"/>
          <w:kern w:val="0"/>
          <w:szCs w:val="21"/>
          <w:lang w:eastAsia="zh-CN"/>
        </w:rPr>
        <w:t>南京市卫生信息中心，</w:t>
      </w:r>
      <w:r>
        <w:rPr>
          <w:rFonts w:hint="eastAsia" w:cs="宋体" w:asciiTheme="minorEastAsia" w:hAnsiTheme="minorEastAsia"/>
          <w:kern w:val="0"/>
          <w:szCs w:val="21"/>
        </w:rPr>
        <w:t>南京市基层医疗协会</w:t>
      </w:r>
      <w:r>
        <w:rPr>
          <w:rFonts w:hint="eastAsia" w:asciiTheme="minorEastAsia" w:hAnsiTheme="minorEastAsia"/>
          <w:szCs w:val="21"/>
          <w:lang w:eastAsia="zh-CN"/>
        </w:rPr>
        <w:t>。</w:t>
      </w:r>
    </w:p>
    <w:p w14:paraId="59E4888A">
      <w:pPr>
        <w:ind w:left="420" w:firstLine="0" w:firstLineChars="0"/>
        <w:rPr>
          <w:rFonts w:hint="eastAsia"/>
          <w:szCs w:val="21"/>
        </w:rPr>
      </w:pPr>
    </w:p>
    <w:p w14:paraId="74C6328C">
      <w:pPr>
        <w:pStyle w:val="5"/>
        <w:rPr>
          <w:color w:val="auto"/>
        </w:rPr>
      </w:pPr>
      <w:r>
        <w:rPr>
          <w:rFonts w:hint="eastAsia"/>
          <w:color w:val="auto"/>
        </w:rPr>
        <w:t>主要内容</w:t>
      </w:r>
    </w:p>
    <w:p w14:paraId="728E2DE7">
      <w:pPr>
        <w:pStyle w:val="6"/>
      </w:pPr>
      <w:r>
        <w:rPr>
          <w:rFonts w:hint="eastAsia"/>
        </w:rPr>
        <w:t>1.接口基本要求</w:t>
      </w:r>
    </w:p>
    <w:p w14:paraId="721965A2">
      <w:pPr>
        <w:ind w:firstLine="420"/>
      </w:pPr>
      <w:r>
        <w:t>此部分涵盖接口的基础性技术标准和操作规则</w:t>
      </w:r>
      <w:r>
        <w:rPr>
          <w:rFonts w:hint="eastAsia"/>
        </w:rPr>
        <w:t>，包括对传输协议的约束性描述、功能接口的规范限制、请求参数类型约束与返回值类型约束。</w:t>
      </w:r>
    </w:p>
    <w:p w14:paraId="11C11C92">
      <w:pPr>
        <w:ind w:firstLine="420"/>
        <w:rPr>
          <w:rFonts w:hint="eastAsia" w:eastAsiaTheme="minorEastAsia"/>
          <w:lang w:eastAsia="zh-CN"/>
        </w:rPr>
      </w:pPr>
      <w:r>
        <w:rPr>
          <w:rFonts w:hint="eastAsia"/>
        </w:rPr>
        <w:t>1. 传输协议与格式: 本部分规定所有数据交互必须通过HTTP/HTTPS协议进行，并符合IETF RFC 2616标准。数据交换将统一使用JSON格式（JavaScript Object Notation），确保数据的轻量化和跨平台兼容性。接口需指定使用application/json的Content-Type头，并支持包括POST、GET、PATCH等多种HTTP方法，以适应不同的数据操作需求</w:t>
      </w:r>
      <w:r>
        <w:rPr>
          <w:rFonts w:hint="eastAsia"/>
          <w:lang w:eastAsia="zh-CN"/>
        </w:rPr>
        <w:t>。</w:t>
      </w:r>
      <w:bookmarkStart w:id="1" w:name="_GoBack"/>
      <w:bookmarkEnd w:id="1"/>
    </w:p>
    <w:p w14:paraId="7EF079C0">
      <w:pPr>
        <w:ind w:firstLine="420"/>
      </w:pPr>
      <w:r>
        <w:rPr>
          <w:rFonts w:hint="eastAsia"/>
        </w:rPr>
        <w:t>2. 接口地址与服务标识: 定义接口地址的统一格式，通过服务标识来区分不同的服务功能，增强接口的可管理性和可扩展性。</w:t>
      </w:r>
    </w:p>
    <w:p w14:paraId="5383D94C">
      <w:pPr>
        <w:ind w:firstLine="420"/>
        <w:rPr>
          <w:rFonts w:hint="eastAsia"/>
        </w:rPr>
      </w:pPr>
      <w:r>
        <w:rPr>
          <w:rFonts w:hint="eastAsia"/>
        </w:rPr>
        <w:t>3. 安全性要求: 强调接口的安全性措施，如可能要求使用HTTPS来保证数据传输过程的加密和安全。</w:t>
      </w:r>
    </w:p>
    <w:p w14:paraId="0434257C">
      <w:pPr>
        <w:pStyle w:val="6"/>
      </w:pPr>
      <w:r>
        <w:rPr>
          <w:rFonts w:hint="eastAsia"/>
        </w:rPr>
        <w:t>2.</w:t>
      </w:r>
      <w:r>
        <w:t>接口设计要求</w:t>
      </w:r>
    </w:p>
    <w:p w14:paraId="2B87BB21">
      <w:pPr>
        <w:ind w:firstLine="420"/>
      </w:pPr>
      <w:r>
        <w:rPr>
          <w:rFonts w:hint="eastAsia"/>
        </w:rPr>
        <w:t>此部分涵盖功能接口的具体设计要求，包括健康档案的新建、更新、查询，随访数据的新建、更新、查询，用药处方和健教处方接收，体检、检查、检验结果查询等。接口设计规范包括参数值约束、请求方式约束以及数据格式约束。</w:t>
      </w:r>
    </w:p>
    <w:p w14:paraId="74230704">
      <w:pPr>
        <w:ind w:firstLine="420"/>
      </w:pPr>
      <w:r>
        <w:rPr>
          <w:rFonts w:hint="eastAsia"/>
        </w:rPr>
        <w:t>1. 功能划分与接口详细设计: 对每种类型的接口功能进行详细划分，如内容管理类（健康档案的新建与更新，随访数据的管理，用药和健康教育处方的接收）和数据查询类（查询健康档案，服务列表，体检和检查结果等）。</w:t>
      </w:r>
    </w:p>
    <w:p w14:paraId="37F3D8BA">
      <w:pPr>
        <w:ind w:firstLine="420"/>
      </w:pPr>
      <w:r>
        <w:rPr>
          <w:rFonts w:hint="eastAsia"/>
        </w:rPr>
        <w:t>2. 接口参数与响应格式: 每个接口都有明确的参数和响应格式要求，包括必需的数据类型（如字符串、整数、布尔值等）和请求体的结构。</w:t>
      </w:r>
    </w:p>
    <w:p w14:paraId="5F8EB699">
      <w:pPr>
        <w:ind w:firstLine="420"/>
        <w:rPr>
          <w:rFonts w:hint="eastAsia"/>
        </w:rPr>
      </w:pPr>
      <w:r>
        <w:rPr>
          <w:rFonts w:hint="eastAsia"/>
        </w:rPr>
        <w:t>3. 实时性与批量操作支持: 规定接口的实时性要求，如健康档案更新和随访数据更新需即时同步，支持批量操作以提高效率。</w:t>
      </w:r>
    </w:p>
    <w:p w14:paraId="01000066">
      <w:pPr>
        <w:pStyle w:val="6"/>
      </w:pPr>
      <w:r>
        <w:rPr>
          <w:rFonts w:hint="eastAsia"/>
        </w:rPr>
        <w:t>3.数据传输规范</w:t>
      </w:r>
    </w:p>
    <w:p w14:paraId="0623E4BA">
      <w:pPr>
        <w:ind w:firstLine="420"/>
      </w:pPr>
      <w:r>
        <w:rPr>
          <w:rFonts w:hint="eastAsia"/>
        </w:rPr>
        <w:t>此部分涵盖了客户端与数据平台对接传输时的数据规范，包括消息实体的消息头和消息体设计，同步传输系统中的传输协议、网络制式、安全标准规范设计。</w:t>
      </w:r>
    </w:p>
    <w:p w14:paraId="16E6F727">
      <w:pPr>
        <w:ind w:firstLine="420"/>
      </w:pPr>
      <w:r>
        <w:rPr>
          <w:rFonts w:hint="eastAsia"/>
        </w:rPr>
        <w:t>1. 消息实体设计: 详细描述消息实体的结构，包括消息头和消息体。消息头包括事件类别、事件编号、版本号等，消息体则根据具体业务需求，采用JSON或XML格式规范表达。</w:t>
      </w:r>
    </w:p>
    <w:p w14:paraId="796802EC">
      <w:pPr>
        <w:ind w:firstLine="420"/>
        <w:rPr>
          <w:rFonts w:hint="eastAsia"/>
        </w:rPr>
      </w:pPr>
      <w:r>
        <w:rPr>
          <w:rFonts w:hint="eastAsia"/>
        </w:rPr>
        <w:t>2. 传输安全与效率: 强调数据传输过程中的安全性和效率，包括使用TLS或IPSEC等安全协议保护数据传输，支持IPv4/IPv6双协议栈以适应不同的网络环境。</w:t>
      </w:r>
    </w:p>
    <w:p w14:paraId="781C0359">
      <w:pPr>
        <w:ind w:firstLine="420"/>
        <w:rPr>
          <w:rFonts w:hint="eastAsia"/>
        </w:rPr>
      </w:pPr>
      <w:r>
        <w:rPr>
          <w:rFonts w:hint="eastAsia"/>
        </w:rPr>
        <w:t>3. 数据完整性与存储安全: 指出需要采用加密技术和安全存储措施来保护重要数据和个人信息，确保数据的完整性、机密性和可用性。例如，可以使用国家密码局推荐的加密算法进行数据加密处理，以及设置适当的访问控制和安全审计机制。</w:t>
      </w:r>
    </w:p>
    <w:p w14:paraId="65B9534F">
      <w:pPr>
        <w:pStyle w:val="5"/>
      </w:pPr>
      <w:r>
        <w:t>技术指标确定的依据</w:t>
      </w:r>
    </w:p>
    <w:p w14:paraId="11BDEB53">
      <w:pPr>
        <w:ind w:firstLine="420"/>
        <w:rPr>
          <w:rStyle w:val="24"/>
        </w:rPr>
      </w:pPr>
      <w:r>
        <w:rPr>
          <w:rFonts w:hint="eastAsia"/>
        </w:rPr>
        <w:t>通过参考已有的相关政策与标准以及试点实验，以此确定了本标准的技术指标。</w:t>
      </w:r>
    </w:p>
    <w:p w14:paraId="3DF978AA">
      <w:pPr>
        <w:pStyle w:val="6"/>
        <w:rPr>
          <w:rStyle w:val="24"/>
          <w:rFonts w:ascii="Times New Roman" w:hAnsi="Times New Roman" w:eastAsia="宋体" w:cs="Times New Roman"/>
          <w:b/>
          <w:sz w:val="24"/>
          <w:szCs w:val="22"/>
        </w:rPr>
      </w:pPr>
      <w:r>
        <w:rPr>
          <w:rStyle w:val="24"/>
          <w:rFonts w:hint="eastAsia" w:ascii="Times New Roman" w:hAnsi="Times New Roman" w:eastAsia="宋体" w:cs="Times New Roman"/>
          <w:b/>
          <w:sz w:val="24"/>
          <w:szCs w:val="22"/>
        </w:rPr>
        <w:t>1.相关政策与标准</w:t>
      </w:r>
    </w:p>
    <w:p w14:paraId="2696DD5D">
      <w:pPr>
        <w:numPr>
          <w:ilvl w:val="0"/>
          <w:numId w:val="4"/>
        </w:numPr>
        <w:ind w:firstLine="420"/>
      </w:pPr>
      <w:r>
        <w:t>GB/T 1.1-2020《标准化工作导则第1部分:标准化文件的结构和起草规则》和 GB/T 1.2-2020《标准化工作导则第 2 部分:以 ISO/IEC 标准化文件为基础的标准化文件起草规则》。</w:t>
      </w:r>
    </w:p>
    <w:p w14:paraId="04B6F6D4">
      <w:pPr>
        <w:numPr>
          <w:ilvl w:val="0"/>
          <w:numId w:val="4"/>
        </w:numPr>
        <w:ind w:firstLine="420"/>
      </w:pPr>
      <w:r>
        <w:rPr>
          <w:rFonts w:hint="eastAsia"/>
        </w:rPr>
        <w:t>2020年12月国家卫生健康委规划发展与信息化司、国家卫生健康委疾病控制预防局、国家中医药管理局规划财务司发布的《</w:t>
      </w:r>
      <w:r>
        <w:t>全国公共卫生信息化建设标准与规范</w:t>
      </w:r>
      <w:r>
        <w:rPr>
          <w:rFonts w:hint="eastAsia"/>
        </w:rPr>
        <w:t>》。</w:t>
      </w:r>
    </w:p>
    <w:p w14:paraId="7A27E5C6">
      <w:pPr>
        <w:numPr>
          <w:ilvl w:val="0"/>
          <w:numId w:val="4"/>
        </w:numPr>
        <w:ind w:firstLine="420"/>
      </w:pPr>
      <w:r>
        <w:rPr>
          <w:rFonts w:hint="eastAsia"/>
        </w:rPr>
        <w:t>2021年12月国家网信办发布的《“十四五”国家信息化规划》。</w:t>
      </w:r>
    </w:p>
    <w:p w14:paraId="67A6D710">
      <w:pPr>
        <w:numPr>
          <w:ilvl w:val="0"/>
          <w:numId w:val="4"/>
        </w:numPr>
        <w:ind w:firstLine="420"/>
      </w:pPr>
      <w:r>
        <w:rPr>
          <w:rFonts w:hint="eastAsia"/>
        </w:rPr>
        <w:t>2023年2月中共中央、国务院发布的《数字中国建设整体布局规划》。</w:t>
      </w:r>
    </w:p>
    <w:p w14:paraId="06955DA7">
      <w:pPr>
        <w:numPr>
          <w:ilvl w:val="0"/>
          <w:numId w:val="4"/>
        </w:numPr>
        <w:ind w:firstLine="420"/>
      </w:pPr>
      <w:r>
        <w:rPr>
          <w:rFonts w:hint="eastAsia"/>
        </w:rPr>
        <w:t>2023年12月江苏省市场监督管理局发布的《江苏省地方标准管理规定》。</w:t>
      </w:r>
    </w:p>
    <w:p w14:paraId="2B36852B">
      <w:pPr>
        <w:pStyle w:val="6"/>
        <w:rPr>
          <w:rStyle w:val="24"/>
          <w:rFonts w:ascii="Times New Roman" w:hAnsi="Times New Roman" w:eastAsia="宋体" w:cs="Times New Roman"/>
          <w:b/>
          <w:sz w:val="24"/>
          <w:szCs w:val="22"/>
        </w:rPr>
      </w:pPr>
      <w:r>
        <w:rPr>
          <w:rStyle w:val="24"/>
          <w:rFonts w:hint="eastAsia" w:ascii="Times New Roman" w:hAnsi="Times New Roman" w:eastAsia="宋体" w:cs="Times New Roman"/>
          <w:b/>
          <w:sz w:val="24"/>
          <w:szCs w:val="22"/>
        </w:rPr>
        <w:t>2.试点经验</w:t>
      </w:r>
    </w:p>
    <w:p w14:paraId="659F909F">
      <w:pPr>
        <w:ind w:firstLine="420"/>
      </w:pPr>
      <w:r>
        <w:rPr>
          <w:rFonts w:hint="eastAsia"/>
        </w:rPr>
        <w:t>通过在南京市栖霞区的社区卫生服务中心的试点推进，标准编制小组总结了实际应用场景下目前相关标准缺失带来的数据交换困难以及医患双方对于核心数据交互、展示的需求情况；并将我们拟提出的接口标准，在社区卫生服务中心进行试点应用，以此为基础提出新的规范标准草案。</w:t>
      </w:r>
    </w:p>
    <w:p w14:paraId="357C00F9">
      <w:pPr>
        <w:pStyle w:val="5"/>
      </w:pPr>
      <w:r>
        <w:t>重大分歧意见的处理过程和依据</w:t>
      </w:r>
    </w:p>
    <w:p w14:paraId="713E28CB">
      <w:pPr>
        <w:ind w:firstLine="420"/>
      </w:pPr>
      <w:r>
        <w:t>本文件在起草过程中无重大意见分歧。</w:t>
      </w:r>
    </w:p>
    <w:p w14:paraId="78AFF9DD">
      <w:pPr>
        <w:pStyle w:val="5"/>
      </w:pPr>
      <w:r>
        <w:rPr>
          <w:rFonts w:hint="eastAsia"/>
        </w:rPr>
        <w:t>与相关法律法规和国家标准的关系</w:t>
      </w:r>
    </w:p>
    <w:p w14:paraId="121198E3">
      <w:pPr>
        <w:ind w:firstLine="420"/>
      </w:pPr>
      <w:r>
        <w:t>根据目前国内外相关法律标准与规范（下附）可知，健康医疗管理的数字化趋势正在加速，国际范围内的相关标准较早开始领跑健康数字医疗产业。如《ISO 12052-2017 健康信息学-医学数字成像和通信》标准规定了卫生信息学领域内，涉及数字图像的数据传输通信标准与以及系统间通信管理的规范。《ISO 13606.5-2019健康信息学-电子健康记录通信》规定了需要或提供电子健康数据（电子病历）的系统和服务之间的互操作通信所需的信息架构，该标准同时定义了系统接口的交互功能要求，以及相关行为模式的设计规范。</w:t>
      </w:r>
    </w:p>
    <w:p w14:paraId="4822EAD8">
      <w:pPr>
        <w:ind w:firstLine="420"/>
        <w:rPr>
          <w:color w:val="auto"/>
        </w:rPr>
      </w:pPr>
      <w:r>
        <w:rPr>
          <w:color w:val="auto"/>
        </w:rPr>
        <w:t>国内各地也都先后推出了电子病历数据集规范等相关标准。《WS 372.5-2012 疾病管理基本数据集 第5部分：2型糖尿病患者健康管理》中规定了记录糖尿病患者健康管理等数据的标准规范，包括患者健康随访、用药情况等数据记录属性。</w:t>
      </w:r>
      <w:r>
        <w:rPr>
          <w:rFonts w:hint="eastAsia"/>
          <w:color w:val="auto"/>
        </w:rPr>
        <w:t>《</w:t>
      </w:r>
      <w:r>
        <w:rPr>
          <w:color w:val="auto"/>
        </w:rPr>
        <w:t>WS 372.2-2012</w:t>
      </w:r>
      <w:r>
        <w:rPr>
          <w:rFonts w:hint="eastAsia"/>
          <w:color w:val="auto"/>
        </w:rPr>
        <w:t xml:space="preserve"> </w:t>
      </w:r>
      <w:r>
        <w:rPr>
          <w:color w:val="auto"/>
        </w:rPr>
        <w:t>疾病管理基本数据集 第2部分：高血压患者健康管理</w:t>
      </w:r>
      <w:r>
        <w:rPr>
          <w:rFonts w:hint="eastAsia"/>
          <w:color w:val="auto"/>
        </w:rPr>
        <w:t>》</w:t>
      </w:r>
      <w:r>
        <w:rPr>
          <w:rFonts w:hint="eastAsia"/>
          <w:color w:val="auto"/>
          <w:lang w:eastAsia="zh-CN"/>
        </w:rPr>
        <w:t>；</w:t>
      </w:r>
      <w:r>
        <w:rPr>
          <w:color w:val="auto"/>
        </w:rPr>
        <w:t>《WS/T 447-2014 基于电子病历的医院信息平台技术规范》规定了医院信息平台建设时的总体技术要求、平台基本功能要求、信息资源规范、交互规范、IT 基础设施规范、安全规范和性能要求等。</w:t>
      </w:r>
      <w:r>
        <w:rPr>
          <w:rFonts w:hint="eastAsia"/>
          <w:color w:val="auto"/>
          <w:lang w:val="en-US" w:eastAsia="zh-CN"/>
        </w:rPr>
        <w:t>江苏省的</w:t>
      </w:r>
      <w:r>
        <w:rPr>
          <w:rFonts w:hint="eastAsia"/>
          <w:color w:val="auto"/>
          <w:lang w:eastAsia="zh-CN"/>
        </w:rPr>
        <w:t>《</w:t>
      </w:r>
      <w:r>
        <w:rPr>
          <w:rFonts w:hint="eastAsia"/>
          <w:color w:val="auto"/>
        </w:rPr>
        <w:t>DB 32/T 4155全民健康信息平台共享数据集规范</w:t>
      </w:r>
      <w:r>
        <w:rPr>
          <w:rFonts w:hint="eastAsia"/>
          <w:color w:val="auto"/>
          <w:lang w:eastAsia="zh-CN"/>
        </w:rPr>
        <w:t>》</w:t>
      </w:r>
      <w:r>
        <w:rPr>
          <w:rFonts w:hint="eastAsia"/>
          <w:color w:val="auto"/>
          <w:lang w:val="en-US" w:eastAsia="zh-CN"/>
        </w:rPr>
        <w:t>规定了数据集本身的标准</w:t>
      </w:r>
      <w:r>
        <w:rPr>
          <w:color w:val="auto"/>
        </w:rPr>
        <w:t>。然而，目前江苏省的健康医疗数据集传输标准以及接口缺乏统一</w:t>
      </w:r>
      <w:r>
        <w:rPr>
          <w:rFonts w:hint="eastAsia"/>
          <w:color w:val="auto"/>
          <w:lang w:val="en-US" w:eastAsia="zh-CN"/>
        </w:rPr>
        <w:t>发布的标准</w:t>
      </w:r>
      <w:r>
        <w:rPr>
          <w:color w:val="auto"/>
        </w:rPr>
        <w:t>，数据集的标</w:t>
      </w:r>
      <w:r>
        <w:rPr>
          <w:b/>
          <w:bCs/>
          <w:color w:val="auto"/>
        </w:rPr>
        <w:t>准化只是医疗数据互联互通的第一步，没有通用的数据传输与数据</w:t>
      </w:r>
      <w:r>
        <w:rPr>
          <w:rFonts w:hint="eastAsia"/>
          <w:b/>
          <w:bCs/>
          <w:color w:val="auto"/>
          <w:lang w:val="en-US" w:eastAsia="zh-CN"/>
        </w:rPr>
        <w:t>接口互通</w:t>
      </w:r>
      <w:r>
        <w:rPr>
          <w:b/>
          <w:bCs/>
          <w:color w:val="auto"/>
        </w:rPr>
        <w:t>方式，医疗数据的共享与传递非常困难</w:t>
      </w:r>
      <w:r>
        <w:rPr>
          <w:color w:val="auto"/>
        </w:rPr>
        <w:t>。</w:t>
      </w:r>
    </w:p>
    <w:p w14:paraId="7E984B03">
      <w:pPr>
        <w:ind w:firstLine="420"/>
      </w:pPr>
      <w:r>
        <w:t>本标准旨在依托目前较为完善的糖尿病和高血压健康医疗数据集体系，建立完整的数据共享的传输与接口标准，</w:t>
      </w:r>
      <w:r>
        <w:rPr>
          <w:rFonts w:hint="eastAsia"/>
          <w:lang w:val="en-US" w:eastAsia="zh-CN"/>
        </w:rPr>
        <w:t>扫除</w:t>
      </w:r>
      <w:r>
        <w:t>各个</w:t>
      </w:r>
      <w:r>
        <w:rPr>
          <w:rFonts w:hint="eastAsia"/>
          <w:lang w:eastAsia="zh-CN"/>
        </w:rPr>
        <w:t>“</w:t>
      </w:r>
      <w:r>
        <w:rPr>
          <w:rFonts w:hint="eastAsia"/>
          <w:lang w:val="en-US" w:eastAsia="zh-CN"/>
        </w:rPr>
        <w:t>数据孤岛”之间</w:t>
      </w:r>
      <w:r>
        <w:t>互联互通障碍。只有建立完善的医疗数据平台传输与接口管理规范，才能促进各医院之间、医院与厂商之间、医院与患者之间做到真正的数据共享，为医疗大数据智能化应用提供支撑。</w:t>
      </w:r>
    </w:p>
    <w:p w14:paraId="3382BD88">
      <w:pPr>
        <w:ind w:firstLine="420"/>
      </w:pPr>
      <w:r>
        <w:t>目前相关</w:t>
      </w:r>
      <w:r>
        <w:rPr>
          <w:rFonts w:hint="eastAsia"/>
          <w:lang w:val="en-US" w:eastAsia="zh-CN"/>
        </w:rPr>
        <w:t>的</w:t>
      </w:r>
      <w:r>
        <w:t>标准与规范：</w:t>
      </w:r>
    </w:p>
    <w:p w14:paraId="34D023C6">
      <w:pPr>
        <w:ind w:firstLine="420"/>
        <w:rPr>
          <w:color w:val="auto"/>
        </w:rPr>
      </w:pPr>
      <w:r>
        <w:rPr>
          <w:color w:val="auto"/>
        </w:rPr>
        <w:t>国家标准：</w:t>
      </w:r>
    </w:p>
    <w:p w14:paraId="2FF93BA5">
      <w:pPr>
        <w:ind w:firstLine="420"/>
        <w:rPr>
          <w:color w:val="auto"/>
        </w:rPr>
      </w:pPr>
      <w:r>
        <w:rPr>
          <w:color w:val="auto"/>
        </w:rPr>
        <w:t>a)</w:t>
      </w:r>
      <w:r>
        <w:rPr>
          <w:color w:val="auto"/>
        </w:rPr>
        <w:tab/>
      </w:r>
      <w:r>
        <w:rPr>
          <w:color w:val="auto"/>
        </w:rPr>
        <w:t>GB/T 32909-2016非结构化数据表示规范</w:t>
      </w:r>
    </w:p>
    <w:p w14:paraId="0772052F">
      <w:pPr>
        <w:ind w:firstLine="420"/>
        <w:rPr>
          <w:color w:val="auto"/>
        </w:rPr>
      </w:pPr>
      <w:r>
        <w:rPr>
          <w:color w:val="auto"/>
        </w:rPr>
        <w:t>b)</w:t>
      </w:r>
      <w:r>
        <w:rPr>
          <w:color w:val="auto"/>
        </w:rPr>
        <w:tab/>
      </w:r>
      <w:r>
        <w:rPr>
          <w:color w:val="auto"/>
        </w:rPr>
        <w:t>GB/T 32098-2016非结构化数据访问接口规范</w:t>
      </w:r>
    </w:p>
    <w:p w14:paraId="3C3D8031">
      <w:pPr>
        <w:ind w:firstLine="420"/>
        <w:rPr>
          <w:color w:val="auto"/>
        </w:rPr>
      </w:pPr>
      <w:r>
        <w:rPr>
          <w:color w:val="auto"/>
        </w:rPr>
        <w:t>c)</w:t>
      </w:r>
      <w:r>
        <w:rPr>
          <w:color w:val="auto"/>
        </w:rPr>
        <w:tab/>
      </w:r>
      <w:r>
        <w:rPr>
          <w:color w:val="auto"/>
        </w:rPr>
        <w:t>GB/T 38672-2020 信息技术 大数据 接口基本要求</w:t>
      </w:r>
    </w:p>
    <w:p w14:paraId="30AE128A">
      <w:pPr>
        <w:ind w:firstLine="420"/>
        <w:rPr>
          <w:color w:val="auto"/>
        </w:rPr>
      </w:pPr>
      <w:r>
        <w:rPr>
          <w:color w:val="auto"/>
        </w:rPr>
        <w:t>d)</w:t>
      </w:r>
      <w:r>
        <w:rPr>
          <w:color w:val="auto"/>
        </w:rPr>
        <w:tab/>
      </w:r>
      <w:r>
        <w:rPr>
          <w:color w:val="auto"/>
        </w:rPr>
        <w:t>GB/T 21715健康信息学—患者健康卡数据 8部分</w:t>
      </w:r>
    </w:p>
    <w:p w14:paraId="1E6BA069">
      <w:pPr>
        <w:ind w:firstLine="420"/>
        <w:rPr>
          <w:rFonts w:hint="eastAsia"/>
          <w:color w:val="auto"/>
        </w:rPr>
      </w:pPr>
      <w:r>
        <w:rPr>
          <w:rFonts w:hint="eastAsia"/>
          <w:color w:val="auto"/>
        </w:rPr>
        <w:t xml:space="preserve">e) </w:t>
      </w:r>
      <w:r>
        <w:rPr>
          <w:color w:val="auto"/>
        </w:rPr>
        <w:tab/>
      </w:r>
      <w:r>
        <w:rPr>
          <w:rFonts w:hint="eastAsia"/>
          <w:color w:val="auto"/>
        </w:rPr>
        <w:t>GB/T 31504-2015信息安全技术 鉴别与授权 数字身份信息服务框架规范</w:t>
      </w:r>
    </w:p>
    <w:p w14:paraId="21F58FFF">
      <w:pPr>
        <w:ind w:firstLine="420"/>
        <w:rPr>
          <w:color w:val="auto"/>
        </w:rPr>
      </w:pPr>
      <w:r>
        <w:rPr>
          <w:color w:val="auto"/>
        </w:rPr>
        <w:t>地方标准：</w:t>
      </w:r>
    </w:p>
    <w:p w14:paraId="64A1F7C9">
      <w:pPr>
        <w:ind w:firstLine="420"/>
        <w:rPr>
          <w:color w:val="auto"/>
        </w:rPr>
      </w:pPr>
      <w:r>
        <w:rPr>
          <w:rFonts w:hint="eastAsia"/>
          <w:color w:val="auto"/>
        </w:rPr>
        <w:t>a</w:t>
      </w:r>
      <w:r>
        <w:rPr>
          <w:color w:val="auto"/>
        </w:rPr>
        <w:t>)</w:t>
      </w:r>
      <w:r>
        <w:rPr>
          <w:color w:val="auto"/>
        </w:rPr>
        <w:tab/>
      </w:r>
      <w:r>
        <w:rPr>
          <w:color w:val="auto"/>
        </w:rPr>
        <w:t>DB32/T 4154-2021 互联网医疗平台基本数据集规范</w:t>
      </w:r>
      <w:r>
        <w:rPr>
          <w:rFonts w:hint="eastAsia"/>
          <w:color w:val="auto"/>
        </w:rPr>
        <w:t xml:space="preserve"> 第1部分：基本健康档案</w:t>
      </w:r>
      <w:r>
        <w:rPr>
          <w:color w:val="auto"/>
        </w:rPr>
        <w:t>（江苏）</w:t>
      </w:r>
    </w:p>
    <w:p w14:paraId="1381435E">
      <w:pPr>
        <w:ind w:firstLine="420"/>
        <w:rPr>
          <w:color w:val="auto"/>
        </w:rPr>
      </w:pPr>
      <w:r>
        <w:rPr>
          <w:rFonts w:hint="eastAsia"/>
          <w:color w:val="auto"/>
        </w:rPr>
        <w:t>b</w:t>
      </w:r>
      <w:r>
        <w:rPr>
          <w:color w:val="auto"/>
        </w:rPr>
        <w:t>)</w:t>
      </w:r>
      <w:r>
        <w:rPr>
          <w:color w:val="auto"/>
        </w:rPr>
        <w:tab/>
      </w:r>
      <w:r>
        <w:rPr>
          <w:color w:val="auto"/>
        </w:rPr>
        <w:t>DB32/T 4155.2-2021 全民健康信息平台共享数据集规范 第2部分：慢病管理（江苏）</w:t>
      </w:r>
    </w:p>
    <w:p w14:paraId="42A9C3BE">
      <w:pPr>
        <w:ind w:firstLine="420"/>
        <w:rPr>
          <w:rFonts w:hint="eastAsia"/>
          <w:color w:val="auto"/>
        </w:rPr>
      </w:pPr>
      <w:r>
        <w:rPr>
          <w:rFonts w:hint="eastAsia"/>
          <w:color w:val="auto"/>
        </w:rPr>
        <w:t>c)</w:t>
      </w:r>
      <w:r>
        <w:rPr>
          <w:color w:val="auto"/>
        </w:rPr>
        <w:tab/>
      </w:r>
      <w:r>
        <w:rPr>
          <w:rFonts w:hint="eastAsia"/>
          <w:color w:val="auto"/>
        </w:rPr>
        <w:t>DB 32/T 4155.7-2021全民健康信息平台共享数据集规范 第7部分：医疗门诊（江苏）</w:t>
      </w:r>
    </w:p>
    <w:p w14:paraId="34ABC52B">
      <w:pPr>
        <w:ind w:firstLine="420"/>
        <w:rPr>
          <w:rFonts w:hint="eastAsia"/>
          <w:color w:val="auto"/>
        </w:rPr>
      </w:pPr>
      <w:r>
        <w:rPr>
          <w:rFonts w:hint="eastAsia"/>
          <w:color w:val="auto"/>
        </w:rPr>
        <w:t>行业标准：</w:t>
      </w:r>
    </w:p>
    <w:p w14:paraId="731BBD59">
      <w:pPr>
        <w:ind w:firstLine="420"/>
        <w:rPr>
          <w:color w:val="auto"/>
        </w:rPr>
      </w:pPr>
      <w:r>
        <w:rPr>
          <w:color w:val="auto"/>
        </w:rPr>
        <w:t>a)</w:t>
      </w:r>
      <w:r>
        <w:rPr>
          <w:color w:val="auto"/>
        </w:rPr>
        <w:tab/>
      </w:r>
      <w:r>
        <w:rPr>
          <w:color w:val="auto"/>
        </w:rPr>
        <w:t>WS/T 500-2016(所有部分) 电子病历共享文档规范</w:t>
      </w:r>
    </w:p>
    <w:p w14:paraId="7EAF4D58">
      <w:pPr>
        <w:ind w:firstLine="420"/>
        <w:rPr>
          <w:color w:val="auto"/>
        </w:rPr>
      </w:pPr>
      <w:r>
        <w:rPr>
          <w:color w:val="auto"/>
        </w:rPr>
        <w:t>b)</w:t>
      </w:r>
      <w:r>
        <w:rPr>
          <w:color w:val="auto"/>
        </w:rPr>
        <w:tab/>
      </w:r>
      <w:r>
        <w:rPr>
          <w:color w:val="auto"/>
        </w:rPr>
        <w:t>WS/T 447-2014 基于电子病历的医院信息平台技术规范</w:t>
      </w:r>
    </w:p>
    <w:p w14:paraId="0A3BFDBD">
      <w:pPr>
        <w:ind w:firstLine="420"/>
        <w:rPr>
          <w:rFonts w:hint="eastAsia"/>
          <w:color w:val="auto"/>
        </w:rPr>
      </w:pPr>
      <w:r>
        <w:rPr>
          <w:color w:val="auto"/>
        </w:rPr>
        <w:t>c)</w:t>
      </w:r>
      <w:r>
        <w:rPr>
          <w:rFonts w:hint="eastAsia"/>
          <w:color w:val="auto"/>
        </w:rPr>
        <w:t xml:space="preserve"> </w:t>
      </w:r>
      <w:r>
        <w:rPr>
          <w:color w:val="auto"/>
        </w:rPr>
        <w:tab/>
      </w:r>
      <w:r>
        <w:rPr>
          <w:rFonts w:hint="eastAsia"/>
          <w:color w:val="auto"/>
        </w:rPr>
        <w:t>WS 370-2022卫生健康信息基本数据集编制标准</w:t>
      </w:r>
    </w:p>
    <w:p w14:paraId="3A81FF9F">
      <w:pPr>
        <w:ind w:firstLine="420"/>
      </w:pPr>
      <w:r>
        <w:rPr>
          <w:rFonts w:hint="eastAsia"/>
        </w:rPr>
        <w:t>经过对现行标准规范的学习研讨，确认本标准的推行符合国家、地方规范要求，在编制过程中严格贯彻国家有关法律法规、方针政策以及部门规章，严格执行强制性国家标准和行业标准，避免与国家标准、行业标准发生技术冲突。</w:t>
      </w:r>
    </w:p>
    <w:p w14:paraId="283846F0">
      <w:pPr>
        <w:pStyle w:val="5"/>
      </w:pPr>
      <w:r>
        <w:t>推广实施建议</w:t>
      </w:r>
    </w:p>
    <w:p w14:paraId="1206264E">
      <w:pPr>
        <w:ind w:firstLine="420"/>
      </w:pPr>
      <w:r>
        <w:rPr>
          <w:rFonts w:hint="eastAsia"/>
        </w:rPr>
        <w:t>本标准规范建议将江苏地区的</w:t>
      </w:r>
      <w:r>
        <w:t>基层医疗卫生机构</w:t>
      </w:r>
      <w:r>
        <w:rPr>
          <w:rFonts w:hint="eastAsia"/>
        </w:rPr>
        <w:t>作为</w:t>
      </w:r>
      <w:r>
        <w:t>主要使用对象</w:t>
      </w:r>
      <w:r>
        <w:rPr>
          <w:rFonts w:hint="eastAsia"/>
        </w:rPr>
        <w:t>，</w:t>
      </w:r>
      <w:r>
        <w:t>此外还有其它级别的医疗机构、诊所。为确保标准的顺利实施，将结合江苏省疾控中心的培训工作、公卫考核等工作同步实施宣贯工作。计划按照以下方案实施：</w:t>
      </w:r>
    </w:p>
    <w:p w14:paraId="10F82BE5">
      <w:pPr>
        <w:ind w:firstLine="420"/>
      </w:pPr>
      <w:r>
        <w:t>•标准发文后，召开宣贯启动会，强调糖尿病和高血压数据接口和传输标准化工作的意义，目前江苏省标准立项与研制和标准体系建设工作取得的成果；</w:t>
      </w:r>
    </w:p>
    <w:p w14:paraId="1BB8B474">
      <w:pPr>
        <w:ind w:firstLine="420"/>
      </w:pPr>
      <w:r>
        <w:t>•在基层医疗卫生单位和器械厂商中选择试点示范，将本标准作为开展工作的指南和依据，狠抓标准工作落实，大力提高标准化水平；</w:t>
      </w:r>
    </w:p>
    <w:p w14:paraId="17EF8BD4">
      <w:pPr>
        <w:ind w:firstLine="420"/>
      </w:pPr>
      <w:r>
        <w:t>•加大对标准贯彻实施情况的监督检查工作力度，确保标准落到实处；</w:t>
      </w:r>
    </w:p>
    <w:p w14:paraId="5BD3F4A5">
      <w:pPr>
        <w:ind w:firstLine="420"/>
      </w:pPr>
      <w:r>
        <w:t>在标准执行过程中，要每个季度组织开展实施应用反馈，全面梳理、排查标准实施工作中的隐患，补齐短板，推动该标准体系的进一步完善。</w:t>
      </w:r>
    </w:p>
    <w:p w14:paraId="6D5D335B">
      <w:pPr>
        <w:pStyle w:val="5"/>
      </w:pPr>
      <w:r>
        <w:t>起草单位和起草人员信息及分工</w:t>
      </w:r>
    </w:p>
    <w:p w14:paraId="6F151819">
      <w:pPr>
        <w:ind w:firstLine="420"/>
        <w:rPr>
          <w:rFonts w:hint="eastAsia"/>
          <w:lang w:val="en-US" w:eastAsia="zh-CN"/>
        </w:rPr>
      </w:pPr>
      <w:r>
        <w:rPr>
          <w:rFonts w:hint="eastAsia"/>
        </w:rPr>
        <w:t>本标准由南京大学</w:t>
      </w:r>
      <w:r>
        <w:rPr>
          <w:rFonts w:hint="eastAsia"/>
          <w:lang w:eastAsia="zh-CN"/>
        </w:rPr>
        <w:t>、</w:t>
      </w:r>
      <w:r>
        <w:rPr>
          <w:rFonts w:hint="eastAsia"/>
        </w:rPr>
        <w:t>江苏省疾病预防控制中心</w:t>
      </w:r>
      <w:r>
        <w:rPr>
          <w:rFonts w:hint="eastAsia"/>
          <w:lang w:val="en-US" w:eastAsia="zh-CN"/>
        </w:rPr>
        <w:t>以及</w:t>
      </w:r>
      <w:r>
        <w:rPr>
          <w:rFonts w:hint="eastAsia"/>
        </w:rPr>
        <w:t>江苏省卫生统计信息中心共同起草。</w:t>
      </w:r>
      <w:r>
        <w:rPr>
          <w:rFonts w:hint="eastAsia"/>
          <w:lang w:val="en-US" w:eastAsia="zh-CN"/>
        </w:rPr>
        <w:t>起草人员信息和具体分工如下表所示：</w:t>
      </w:r>
    </w:p>
    <w:p w14:paraId="22E16F32">
      <w:pPr>
        <w:pStyle w:val="3"/>
        <w:rPr>
          <w:rFonts w:hint="eastAsia"/>
          <w:lang w:val="en-US" w:eastAsia="zh-CN"/>
        </w:rPr>
      </w:pPr>
    </w:p>
    <w:p w14:paraId="1DBE137B">
      <w:pPr>
        <w:pStyle w:val="3"/>
        <w:rPr>
          <w:rFonts w:hint="eastAsia"/>
          <w:lang w:val="en-US" w:eastAsia="zh-CN"/>
        </w:rPr>
      </w:pPr>
    </w:p>
    <w:p w14:paraId="016AEF04">
      <w:pPr>
        <w:pStyle w:val="8"/>
        <w:jc w:val="center"/>
        <w:rPr>
          <w:rFonts w:hint="default" w:eastAsia="黑体"/>
          <w:lang w:val="en-US" w:eastAsia="zh-CN"/>
        </w:rPr>
      </w:pPr>
      <w:r>
        <w:t xml:space="preserve">表 </w:t>
      </w:r>
      <w:r>
        <w:fldChar w:fldCharType="begin"/>
      </w:r>
      <w:r>
        <w:instrText xml:space="preserve"> SEQ 表 \* ARABIC </w:instrText>
      </w:r>
      <w:r>
        <w:fldChar w:fldCharType="separate"/>
      </w:r>
      <w:r>
        <w:t>1</w:t>
      </w:r>
      <w:r>
        <w:fldChar w:fldCharType="end"/>
      </w:r>
      <w:r>
        <w:rPr>
          <w:rFonts w:hint="eastAsia"/>
          <w:lang w:val="en-US" w:eastAsia="zh-CN"/>
        </w:rPr>
        <w:t xml:space="preserve"> 起草人员信息及分工</w:t>
      </w:r>
    </w:p>
    <w:tbl>
      <w:tblPr>
        <w:tblStyle w:val="16"/>
        <w:tblpPr w:leftFromText="180" w:rightFromText="180" w:vertAnchor="text" w:horzAnchor="page" w:tblpX="1797" w:tblpY="344"/>
        <w:tblOverlap w:val="never"/>
        <w:tblW w:w="83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3"/>
        <w:gridCol w:w="5391"/>
        <w:gridCol w:w="1931"/>
      </w:tblGrid>
      <w:tr w14:paraId="46FD4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top"/>
          </w:tcPr>
          <w:p w14:paraId="647DDC5F">
            <w:pPr>
              <w:pStyle w:val="23"/>
              <w:bidi w:val="0"/>
              <w:jc w:val="left"/>
              <w:rPr>
                <w:rFonts w:hint="default"/>
                <w:b/>
                <w:bCs/>
                <w:lang w:val="en-US" w:eastAsia="zh-CN"/>
              </w:rPr>
            </w:pPr>
            <w:r>
              <w:rPr>
                <w:rFonts w:hint="eastAsia"/>
                <w:b/>
                <w:bCs/>
                <w:lang w:val="en-US" w:eastAsia="zh-CN"/>
              </w:rPr>
              <w:t>人员</w:t>
            </w:r>
          </w:p>
        </w:tc>
        <w:tc>
          <w:tcPr>
            <w:tcW w:w="5391" w:type="dxa"/>
            <w:vAlign w:val="top"/>
          </w:tcPr>
          <w:p w14:paraId="389B08D4">
            <w:pPr>
              <w:pStyle w:val="23"/>
              <w:bidi w:val="0"/>
              <w:jc w:val="left"/>
              <w:rPr>
                <w:rFonts w:hint="default"/>
                <w:b/>
                <w:bCs/>
                <w:lang w:val="en-US" w:eastAsia="zh-CN"/>
              </w:rPr>
            </w:pPr>
            <w:r>
              <w:rPr>
                <w:rFonts w:hint="eastAsia"/>
                <w:b/>
                <w:bCs/>
                <w:lang w:val="en-US" w:eastAsia="zh-CN"/>
              </w:rPr>
              <w:t>简介</w:t>
            </w:r>
          </w:p>
        </w:tc>
        <w:tc>
          <w:tcPr>
            <w:tcW w:w="1931" w:type="dxa"/>
            <w:vAlign w:val="top"/>
          </w:tcPr>
          <w:p w14:paraId="11A39CC8">
            <w:pPr>
              <w:pStyle w:val="23"/>
              <w:bidi w:val="0"/>
              <w:jc w:val="left"/>
              <w:rPr>
                <w:rFonts w:hint="default"/>
                <w:b/>
                <w:bCs/>
                <w:lang w:val="en-US" w:eastAsia="zh-CN"/>
              </w:rPr>
            </w:pPr>
            <w:r>
              <w:rPr>
                <w:rFonts w:hint="eastAsia"/>
                <w:b/>
                <w:bCs/>
                <w:lang w:val="en-US" w:eastAsia="zh-CN"/>
              </w:rPr>
              <w:t>分工</w:t>
            </w:r>
          </w:p>
        </w:tc>
      </w:tr>
      <w:tr w14:paraId="1BDF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tcPr>
          <w:p w14:paraId="771C5894">
            <w:pPr>
              <w:pStyle w:val="23"/>
              <w:bidi w:val="0"/>
              <w:jc w:val="left"/>
              <w:rPr>
                <w:rFonts w:hint="eastAsia"/>
                <w:lang w:val="en-US" w:eastAsia="zh-CN"/>
              </w:rPr>
            </w:pPr>
            <w:r>
              <w:rPr>
                <w:rFonts w:hint="eastAsia"/>
                <w:lang w:val="en-US" w:eastAsia="zh-CN"/>
              </w:rPr>
              <w:t>张峻峰</w:t>
            </w:r>
          </w:p>
        </w:tc>
        <w:tc>
          <w:tcPr>
            <w:tcW w:w="5391" w:type="dxa"/>
          </w:tcPr>
          <w:p w14:paraId="5BABDBC9">
            <w:pPr>
              <w:pStyle w:val="23"/>
              <w:bidi w:val="0"/>
              <w:jc w:val="left"/>
              <w:rPr>
                <w:rFonts w:hint="eastAsia"/>
                <w:lang w:val="en-US" w:eastAsia="zh-CN"/>
              </w:rPr>
            </w:pPr>
            <w:r>
              <w:rPr>
                <w:rFonts w:hint="eastAsia"/>
                <w:lang w:val="en-US" w:eastAsia="zh-CN"/>
              </w:rPr>
              <w:t>中国海洋大学党委副书记、校长；曾任南京大学党委常委、副校长</w:t>
            </w:r>
          </w:p>
        </w:tc>
        <w:tc>
          <w:tcPr>
            <w:tcW w:w="1931" w:type="dxa"/>
          </w:tcPr>
          <w:p w14:paraId="1C0A98AA">
            <w:pPr>
              <w:pStyle w:val="23"/>
              <w:bidi w:val="0"/>
              <w:jc w:val="left"/>
              <w:rPr>
                <w:rFonts w:hint="default"/>
                <w:lang w:val="en-US" w:eastAsia="zh-CN"/>
              </w:rPr>
            </w:pPr>
            <w:r>
              <w:rPr>
                <w:rFonts w:hint="eastAsia"/>
                <w:lang w:val="en-US" w:eastAsia="zh-CN"/>
              </w:rPr>
              <w:t>负责总体设计与统筹安排</w:t>
            </w:r>
          </w:p>
        </w:tc>
      </w:tr>
      <w:tr w14:paraId="24450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tcPr>
          <w:p w14:paraId="6E8E999D">
            <w:pPr>
              <w:pStyle w:val="23"/>
              <w:bidi w:val="0"/>
              <w:jc w:val="left"/>
              <w:rPr>
                <w:rFonts w:hint="eastAsia"/>
                <w:lang w:val="en-US" w:eastAsia="zh-CN"/>
              </w:rPr>
            </w:pPr>
            <w:r>
              <w:rPr>
                <w:rFonts w:hint="eastAsia"/>
                <w:lang w:val="en-US" w:eastAsia="zh-CN"/>
              </w:rPr>
              <w:t>朱宝立</w:t>
            </w:r>
          </w:p>
        </w:tc>
        <w:tc>
          <w:tcPr>
            <w:tcW w:w="5391" w:type="dxa"/>
          </w:tcPr>
          <w:p w14:paraId="2266727B">
            <w:pPr>
              <w:pStyle w:val="23"/>
              <w:bidi w:val="0"/>
              <w:jc w:val="left"/>
              <w:rPr>
                <w:rFonts w:hint="eastAsia"/>
                <w:lang w:val="en-US" w:eastAsia="zh-CN"/>
              </w:rPr>
            </w:pPr>
            <w:r>
              <w:rPr>
                <w:rFonts w:hint="eastAsia"/>
                <w:lang w:val="en-US" w:eastAsia="zh-CN"/>
              </w:rPr>
              <w:t>江苏省疾病预防控制中心党委书记</w:t>
            </w:r>
          </w:p>
        </w:tc>
        <w:tc>
          <w:tcPr>
            <w:tcW w:w="1931" w:type="dxa"/>
          </w:tcPr>
          <w:p w14:paraId="677B369E">
            <w:pPr>
              <w:pStyle w:val="23"/>
              <w:bidi w:val="0"/>
              <w:jc w:val="left"/>
              <w:rPr>
                <w:rFonts w:hint="eastAsia"/>
                <w:lang w:val="en-US" w:eastAsia="zh-CN"/>
              </w:rPr>
            </w:pPr>
            <w:r>
              <w:rPr>
                <w:rFonts w:hint="eastAsia"/>
                <w:lang w:val="en-US" w:eastAsia="zh-CN"/>
              </w:rPr>
              <w:t>负责总体设计与统筹安排</w:t>
            </w:r>
          </w:p>
        </w:tc>
      </w:tr>
      <w:tr w14:paraId="3DF4F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tcPr>
          <w:p w14:paraId="007C79E8">
            <w:pPr>
              <w:pStyle w:val="23"/>
              <w:bidi w:val="0"/>
              <w:jc w:val="left"/>
              <w:rPr>
                <w:rFonts w:hint="eastAsia"/>
                <w:lang w:val="en-US" w:eastAsia="zh-CN"/>
              </w:rPr>
            </w:pPr>
            <w:r>
              <w:rPr>
                <w:rFonts w:hint="eastAsia"/>
                <w:lang w:val="en-US" w:eastAsia="zh-CN"/>
              </w:rPr>
              <w:t>张文红</w:t>
            </w:r>
          </w:p>
        </w:tc>
        <w:tc>
          <w:tcPr>
            <w:tcW w:w="5391" w:type="dxa"/>
          </w:tcPr>
          <w:p w14:paraId="2C5A8243">
            <w:pPr>
              <w:pStyle w:val="23"/>
              <w:bidi w:val="0"/>
              <w:jc w:val="left"/>
              <w:rPr>
                <w:rFonts w:hint="default"/>
                <w:lang w:val="en-US" w:eastAsia="zh-CN"/>
              </w:rPr>
            </w:pPr>
            <w:r>
              <w:rPr>
                <w:rFonts w:hint="eastAsia"/>
                <w:lang w:val="en-US" w:eastAsia="zh-CN"/>
              </w:rPr>
              <w:t>南京大学健康医疗大数据国家研究院副院长 教授 博导</w:t>
            </w:r>
          </w:p>
        </w:tc>
        <w:tc>
          <w:tcPr>
            <w:tcW w:w="1931" w:type="dxa"/>
          </w:tcPr>
          <w:p w14:paraId="654B6693">
            <w:pPr>
              <w:pStyle w:val="23"/>
              <w:bidi w:val="0"/>
              <w:jc w:val="left"/>
              <w:rPr>
                <w:rFonts w:hint="default"/>
                <w:lang w:val="en-US" w:eastAsia="zh-CN"/>
              </w:rPr>
            </w:pPr>
            <w:r>
              <w:rPr>
                <w:rFonts w:hint="eastAsia"/>
                <w:lang w:val="en-US" w:eastAsia="zh-CN"/>
              </w:rPr>
              <w:t>负责第五章技术部分设计</w:t>
            </w:r>
          </w:p>
        </w:tc>
      </w:tr>
      <w:tr w14:paraId="614D0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tcPr>
          <w:p w14:paraId="3798DA37">
            <w:pPr>
              <w:pStyle w:val="23"/>
              <w:bidi w:val="0"/>
              <w:jc w:val="left"/>
              <w:rPr>
                <w:rFonts w:hint="eastAsia"/>
                <w:lang w:val="en-US" w:eastAsia="zh-CN"/>
              </w:rPr>
            </w:pPr>
            <w:r>
              <w:rPr>
                <w:rFonts w:hint="eastAsia"/>
                <w:lang w:val="en-US" w:eastAsia="zh-CN"/>
              </w:rPr>
              <w:t>唐凯</w:t>
            </w:r>
          </w:p>
        </w:tc>
        <w:tc>
          <w:tcPr>
            <w:tcW w:w="5391" w:type="dxa"/>
          </w:tcPr>
          <w:p w14:paraId="3996EA5A">
            <w:pPr>
              <w:pStyle w:val="23"/>
              <w:bidi w:val="0"/>
              <w:jc w:val="left"/>
              <w:rPr>
                <w:rFonts w:hint="eastAsia"/>
                <w:lang w:val="en-US" w:eastAsia="zh-CN"/>
              </w:rPr>
            </w:pPr>
            <w:r>
              <w:rPr>
                <w:rFonts w:hint="eastAsia"/>
                <w:lang w:val="en-US" w:eastAsia="zh-CN"/>
              </w:rPr>
              <w:t>江苏省卫生健康信息中心副主任（主持工作）</w:t>
            </w:r>
          </w:p>
        </w:tc>
        <w:tc>
          <w:tcPr>
            <w:tcW w:w="1931" w:type="dxa"/>
          </w:tcPr>
          <w:p w14:paraId="07EAB7B8">
            <w:pPr>
              <w:pStyle w:val="23"/>
              <w:bidi w:val="0"/>
              <w:jc w:val="left"/>
              <w:rPr>
                <w:rFonts w:hint="default"/>
                <w:lang w:val="en-US" w:eastAsia="zh-CN"/>
              </w:rPr>
            </w:pPr>
            <w:r>
              <w:rPr>
                <w:rFonts w:hint="eastAsia"/>
                <w:lang w:val="en-US" w:eastAsia="zh-CN"/>
              </w:rPr>
              <w:t>负责第六章技术部分设计</w:t>
            </w:r>
          </w:p>
        </w:tc>
      </w:tr>
      <w:tr w14:paraId="18285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tcPr>
          <w:p w14:paraId="3A0A3B20">
            <w:pPr>
              <w:pStyle w:val="23"/>
              <w:bidi w:val="0"/>
              <w:jc w:val="left"/>
              <w:rPr>
                <w:rFonts w:hint="eastAsia"/>
                <w:lang w:val="en-US" w:eastAsia="zh-CN"/>
              </w:rPr>
            </w:pPr>
            <w:r>
              <w:rPr>
                <w:rFonts w:hint="eastAsia"/>
                <w:lang w:val="en-US" w:eastAsia="zh-CN"/>
              </w:rPr>
              <w:t>胡伟</w:t>
            </w:r>
          </w:p>
        </w:tc>
        <w:tc>
          <w:tcPr>
            <w:tcW w:w="5391" w:type="dxa"/>
          </w:tcPr>
          <w:p w14:paraId="55559656">
            <w:pPr>
              <w:pStyle w:val="23"/>
              <w:bidi w:val="0"/>
              <w:jc w:val="left"/>
              <w:rPr>
                <w:rFonts w:hint="eastAsia"/>
                <w:lang w:val="en-US" w:eastAsia="zh-CN"/>
              </w:rPr>
            </w:pPr>
            <w:r>
              <w:rPr>
                <w:rFonts w:hint="eastAsia"/>
                <w:lang w:val="en-US" w:eastAsia="zh-CN"/>
              </w:rPr>
              <w:t>南京大学计算机学院 教授 博导</w:t>
            </w:r>
          </w:p>
          <w:p w14:paraId="11F8B1C3">
            <w:pPr>
              <w:pStyle w:val="23"/>
              <w:bidi w:val="0"/>
              <w:jc w:val="left"/>
              <w:rPr>
                <w:rFonts w:hint="default"/>
                <w:lang w:val="en-US" w:eastAsia="zh-CN"/>
              </w:rPr>
            </w:pPr>
            <w:r>
              <w:rPr>
                <w:rFonts w:hint="eastAsia"/>
                <w:lang w:val="en-US" w:eastAsia="zh-CN"/>
              </w:rPr>
              <w:t>南京大学健康医疗大数据国家研究院 知识图谱首席专家</w:t>
            </w:r>
          </w:p>
        </w:tc>
        <w:tc>
          <w:tcPr>
            <w:tcW w:w="1931" w:type="dxa"/>
          </w:tcPr>
          <w:p w14:paraId="36F0659C">
            <w:pPr>
              <w:pStyle w:val="23"/>
              <w:bidi w:val="0"/>
              <w:jc w:val="left"/>
              <w:rPr>
                <w:rFonts w:hint="default"/>
                <w:lang w:val="en-US" w:eastAsia="zh-CN"/>
              </w:rPr>
            </w:pPr>
            <w:r>
              <w:rPr>
                <w:rFonts w:hint="eastAsia"/>
                <w:lang w:val="en-US" w:eastAsia="zh-CN"/>
              </w:rPr>
              <w:t>负责第七章技术部分设计</w:t>
            </w:r>
          </w:p>
        </w:tc>
      </w:tr>
      <w:tr w14:paraId="24ADF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tcPr>
          <w:p w14:paraId="03DCD70F">
            <w:pPr>
              <w:pStyle w:val="23"/>
              <w:bidi w:val="0"/>
              <w:jc w:val="left"/>
              <w:rPr>
                <w:rFonts w:hint="eastAsia"/>
                <w:lang w:val="en-US" w:eastAsia="zh-CN"/>
              </w:rPr>
            </w:pPr>
            <w:r>
              <w:rPr>
                <w:rFonts w:hint="eastAsia"/>
                <w:lang w:val="en-US" w:eastAsia="zh-CN"/>
              </w:rPr>
              <w:t>徐金水</w:t>
            </w:r>
          </w:p>
        </w:tc>
        <w:tc>
          <w:tcPr>
            <w:tcW w:w="5391" w:type="dxa"/>
          </w:tcPr>
          <w:p w14:paraId="2FD3B2F5">
            <w:pPr>
              <w:pStyle w:val="23"/>
              <w:bidi w:val="0"/>
              <w:jc w:val="left"/>
              <w:rPr>
                <w:rFonts w:hint="default"/>
                <w:lang w:val="en-US" w:eastAsia="zh-CN"/>
              </w:rPr>
            </w:pPr>
            <w:r>
              <w:rPr>
                <w:rFonts w:hint="eastAsia"/>
                <w:lang w:val="en-US" w:eastAsia="zh-CN"/>
              </w:rPr>
              <w:t>江苏省疾病预防控制中心 科长 主任医师</w:t>
            </w:r>
          </w:p>
        </w:tc>
        <w:tc>
          <w:tcPr>
            <w:tcW w:w="1931" w:type="dxa"/>
          </w:tcPr>
          <w:p w14:paraId="161D2C5F">
            <w:pPr>
              <w:pStyle w:val="23"/>
              <w:bidi w:val="0"/>
              <w:jc w:val="left"/>
              <w:rPr>
                <w:rFonts w:hint="default"/>
                <w:lang w:val="en-US" w:eastAsia="zh-CN"/>
              </w:rPr>
            </w:pPr>
            <w:r>
              <w:rPr>
                <w:rFonts w:hint="eastAsia"/>
                <w:lang w:val="en-US" w:eastAsia="zh-CN"/>
              </w:rPr>
              <w:t>负责第五章的医学内容设计</w:t>
            </w:r>
          </w:p>
        </w:tc>
      </w:tr>
      <w:tr w14:paraId="6EDB6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tcPr>
          <w:p w14:paraId="0C42DDF4">
            <w:pPr>
              <w:pStyle w:val="23"/>
              <w:bidi w:val="0"/>
              <w:jc w:val="left"/>
              <w:rPr>
                <w:rFonts w:hint="eastAsia"/>
                <w:lang w:val="en-US" w:eastAsia="zh-CN"/>
              </w:rPr>
            </w:pPr>
            <w:r>
              <w:rPr>
                <w:rFonts w:hint="eastAsia"/>
                <w:lang w:val="en-US" w:eastAsia="zh-CN"/>
              </w:rPr>
              <w:t>郭海建</w:t>
            </w:r>
          </w:p>
        </w:tc>
        <w:tc>
          <w:tcPr>
            <w:tcW w:w="5391" w:type="dxa"/>
          </w:tcPr>
          <w:p w14:paraId="4778B591">
            <w:pPr>
              <w:pStyle w:val="23"/>
              <w:bidi w:val="0"/>
              <w:jc w:val="left"/>
              <w:rPr>
                <w:rFonts w:hint="default"/>
                <w:lang w:val="en-US" w:eastAsia="zh-CN"/>
              </w:rPr>
            </w:pPr>
            <w:r>
              <w:rPr>
                <w:rFonts w:hint="eastAsia"/>
                <w:lang w:val="en-US" w:eastAsia="zh-CN"/>
              </w:rPr>
              <w:t>江苏省疾病预防控制中心 主任医师</w:t>
            </w:r>
          </w:p>
        </w:tc>
        <w:tc>
          <w:tcPr>
            <w:tcW w:w="1931" w:type="dxa"/>
          </w:tcPr>
          <w:p w14:paraId="05A955A4">
            <w:pPr>
              <w:pStyle w:val="23"/>
              <w:bidi w:val="0"/>
              <w:jc w:val="left"/>
              <w:rPr>
                <w:rFonts w:hint="eastAsia"/>
                <w:lang w:val="en-US" w:eastAsia="zh-CN"/>
              </w:rPr>
            </w:pPr>
            <w:r>
              <w:rPr>
                <w:rFonts w:hint="eastAsia"/>
                <w:lang w:val="en-US" w:eastAsia="zh-CN"/>
              </w:rPr>
              <w:t>负责第六章的医学内容设计</w:t>
            </w:r>
          </w:p>
        </w:tc>
      </w:tr>
      <w:tr w14:paraId="5E119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tcPr>
          <w:p w14:paraId="35367F21">
            <w:pPr>
              <w:pStyle w:val="23"/>
              <w:bidi w:val="0"/>
              <w:jc w:val="left"/>
              <w:rPr>
                <w:rFonts w:hint="default"/>
                <w:lang w:val="en-US" w:eastAsia="zh-CN"/>
              </w:rPr>
            </w:pPr>
            <w:r>
              <w:rPr>
                <w:rFonts w:hint="eastAsia"/>
                <w:lang w:val="en-US" w:eastAsia="zh-CN"/>
              </w:rPr>
              <w:t>陈斯蕾</w:t>
            </w:r>
          </w:p>
        </w:tc>
        <w:tc>
          <w:tcPr>
            <w:tcW w:w="5391" w:type="dxa"/>
          </w:tcPr>
          <w:p w14:paraId="68428DBB">
            <w:pPr>
              <w:pStyle w:val="23"/>
              <w:bidi w:val="0"/>
              <w:jc w:val="left"/>
              <w:rPr>
                <w:rFonts w:hint="default"/>
                <w:lang w:val="en-US" w:eastAsia="zh-CN"/>
              </w:rPr>
            </w:pPr>
            <w:r>
              <w:rPr>
                <w:rFonts w:hint="eastAsia"/>
                <w:lang w:val="en-US" w:eastAsia="zh-CN"/>
              </w:rPr>
              <w:t>南京大学医学院 博士后</w:t>
            </w:r>
          </w:p>
        </w:tc>
        <w:tc>
          <w:tcPr>
            <w:tcW w:w="1931" w:type="dxa"/>
          </w:tcPr>
          <w:p w14:paraId="0C7367CF">
            <w:pPr>
              <w:pStyle w:val="23"/>
              <w:bidi w:val="0"/>
              <w:jc w:val="left"/>
              <w:rPr>
                <w:rFonts w:hint="default"/>
                <w:lang w:val="en-US" w:eastAsia="zh-CN"/>
              </w:rPr>
            </w:pPr>
            <w:r>
              <w:rPr>
                <w:rFonts w:hint="eastAsia"/>
                <w:lang w:val="en-US" w:eastAsia="zh-CN"/>
              </w:rPr>
              <w:t>负责内容撰写、格式修订</w:t>
            </w:r>
          </w:p>
        </w:tc>
      </w:tr>
    </w:tbl>
    <w:p w14:paraId="2D4BC4D5">
      <w:pPr>
        <w:bidi w:val="0"/>
        <w:rPr>
          <w:rFonts w:hint="default"/>
          <w:lang w:val="en-US" w:eastAsia="zh-CN"/>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K">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0C6E1">
    <w:pPr>
      <w:pStyle w:val="10"/>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5AB04E">
                          <w:pPr>
                            <w:pStyle w:val="10"/>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95AB04E">
                    <w:pPr>
                      <w:pStyle w:val="10"/>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7F61E">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C6990">
    <w:pPr>
      <w:pStyle w:val="1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420"/>
      </w:pPr>
      <w:r>
        <w:separator/>
      </w:r>
    </w:p>
  </w:footnote>
  <w:footnote w:type="continuationSeparator" w:id="1">
    <w:p>
      <w:pPr>
        <w:spacing w:line="30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69AE1B">
    <w:pPr>
      <w:pStyle w:val="1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E2A46">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A69D4">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CBB62D"/>
    <w:multiLevelType w:val="singleLevel"/>
    <w:tmpl w:val="8BCBB62D"/>
    <w:lvl w:ilvl="0" w:tentative="0">
      <w:start w:val="2"/>
      <w:numFmt w:val="decimal"/>
      <w:suff w:val="space"/>
      <w:lvlText w:val="%1."/>
      <w:lvlJc w:val="left"/>
    </w:lvl>
  </w:abstractNum>
  <w:abstractNum w:abstractNumId="1">
    <w:nsid w:val="D7ED8C8E"/>
    <w:multiLevelType w:val="singleLevel"/>
    <w:tmpl w:val="D7ED8C8E"/>
    <w:lvl w:ilvl="0" w:tentative="0">
      <w:start w:val="1"/>
      <w:numFmt w:val="decimal"/>
      <w:suff w:val="space"/>
      <w:lvlText w:val="%1."/>
      <w:lvlJc w:val="left"/>
    </w:lvl>
  </w:abstractNum>
  <w:abstractNum w:abstractNumId="2">
    <w:nsid w:val="FB7A6018"/>
    <w:multiLevelType w:val="singleLevel"/>
    <w:tmpl w:val="FB7A6018"/>
    <w:lvl w:ilvl="0" w:tentative="0">
      <w:start w:val="1"/>
      <w:numFmt w:val="chineseCounting"/>
      <w:pStyle w:val="5"/>
      <w:suff w:val="nothing"/>
      <w:lvlText w:val="%1、"/>
      <w:lvlJc w:val="left"/>
      <w:pPr>
        <w:ind w:left="0" w:firstLine="0"/>
      </w:pPr>
      <w:rPr>
        <w:rFonts w:hint="eastAsia"/>
      </w:rPr>
    </w:lvl>
  </w:abstractNum>
  <w:abstractNum w:abstractNumId="3">
    <w:nsid w:val="7BA35386"/>
    <w:multiLevelType w:val="singleLevel"/>
    <w:tmpl w:val="7BA35386"/>
    <w:lvl w:ilvl="0" w:tentative="0">
      <w:start w:val="1"/>
      <w:numFmt w:val="decimal"/>
      <w:pStyle w:val="14"/>
      <w:suff w:val="space"/>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xNTg5MWJmOWRiNjhkNzk5NzI0MDRmNDNhZWE1OWUifQ=="/>
  </w:docVars>
  <w:rsids>
    <w:rsidRoot w:val="DF825BB1"/>
    <w:rsid w:val="00037EC0"/>
    <w:rsid w:val="000940EB"/>
    <w:rsid w:val="00261538"/>
    <w:rsid w:val="00293CC2"/>
    <w:rsid w:val="0041358A"/>
    <w:rsid w:val="00454A82"/>
    <w:rsid w:val="00463FB5"/>
    <w:rsid w:val="0047463A"/>
    <w:rsid w:val="00484F2C"/>
    <w:rsid w:val="004C4551"/>
    <w:rsid w:val="005C5E3B"/>
    <w:rsid w:val="006454A3"/>
    <w:rsid w:val="00742FA8"/>
    <w:rsid w:val="008C213D"/>
    <w:rsid w:val="009741A8"/>
    <w:rsid w:val="009B0900"/>
    <w:rsid w:val="00A721D9"/>
    <w:rsid w:val="00CD47C2"/>
    <w:rsid w:val="00D73B3E"/>
    <w:rsid w:val="00ED628B"/>
    <w:rsid w:val="00F369AB"/>
    <w:rsid w:val="06EA4C46"/>
    <w:rsid w:val="08384753"/>
    <w:rsid w:val="0A941C4C"/>
    <w:rsid w:val="0EE302EE"/>
    <w:rsid w:val="0FB26F69"/>
    <w:rsid w:val="0FE572AA"/>
    <w:rsid w:val="12E7211A"/>
    <w:rsid w:val="15C53BBC"/>
    <w:rsid w:val="174E770D"/>
    <w:rsid w:val="18D271A5"/>
    <w:rsid w:val="1CF65FE6"/>
    <w:rsid w:val="1D7424B1"/>
    <w:rsid w:val="1EF83413"/>
    <w:rsid w:val="26964363"/>
    <w:rsid w:val="26F61FF7"/>
    <w:rsid w:val="29F50308"/>
    <w:rsid w:val="30FB1E66"/>
    <w:rsid w:val="36121410"/>
    <w:rsid w:val="3DA94408"/>
    <w:rsid w:val="40C21ED0"/>
    <w:rsid w:val="438312BD"/>
    <w:rsid w:val="4CED0965"/>
    <w:rsid w:val="4EE7131B"/>
    <w:rsid w:val="54345F05"/>
    <w:rsid w:val="58F23AAF"/>
    <w:rsid w:val="5B7B00EC"/>
    <w:rsid w:val="5DE700F7"/>
    <w:rsid w:val="5EBC54FC"/>
    <w:rsid w:val="60F87546"/>
    <w:rsid w:val="643A5216"/>
    <w:rsid w:val="679F4E77"/>
    <w:rsid w:val="67F83302"/>
    <w:rsid w:val="6BC9C375"/>
    <w:rsid w:val="6C382DD4"/>
    <w:rsid w:val="745E73CB"/>
    <w:rsid w:val="755420AE"/>
    <w:rsid w:val="77D6F97F"/>
    <w:rsid w:val="7EF911E3"/>
    <w:rsid w:val="7FF5F881"/>
    <w:rsid w:val="C7F7B420"/>
    <w:rsid w:val="DBFDDEBF"/>
    <w:rsid w:val="DE7F24B8"/>
    <w:rsid w:val="DF825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adjustRightInd w:val="0"/>
      <w:snapToGrid w:val="0"/>
      <w:spacing w:line="300" w:lineRule="auto"/>
      <w:ind w:firstLine="883" w:firstLineChars="20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autoRedefine/>
    <w:qFormat/>
    <w:uiPriority w:val="0"/>
    <w:pPr>
      <w:keepNext/>
      <w:keepLines/>
      <w:spacing w:before="340" w:after="330" w:line="576" w:lineRule="auto"/>
      <w:ind w:firstLine="0" w:firstLineChars="0"/>
      <w:outlineLvl w:val="0"/>
    </w:pPr>
    <w:rPr>
      <w:b/>
      <w:kern w:val="44"/>
      <w:sz w:val="44"/>
    </w:rPr>
  </w:style>
  <w:style w:type="paragraph" w:styleId="5">
    <w:name w:val="heading 2"/>
    <w:basedOn w:val="1"/>
    <w:next w:val="1"/>
    <w:autoRedefine/>
    <w:unhideWhenUsed/>
    <w:qFormat/>
    <w:uiPriority w:val="0"/>
    <w:pPr>
      <w:keepNext/>
      <w:keepLines/>
      <w:numPr>
        <w:ilvl w:val="0"/>
        <w:numId w:val="1"/>
      </w:numPr>
      <w:spacing w:before="100" w:line="360" w:lineRule="auto"/>
      <w:ind w:firstLineChars="0"/>
      <w:outlineLvl w:val="1"/>
    </w:pPr>
    <w:rPr>
      <w:rFonts w:ascii="Arial" w:hAnsi="Arial" w:eastAsia="黑体"/>
      <w:sz w:val="32"/>
    </w:rPr>
  </w:style>
  <w:style w:type="paragraph" w:styleId="6">
    <w:name w:val="heading 3"/>
    <w:basedOn w:val="1"/>
    <w:next w:val="1"/>
    <w:link w:val="24"/>
    <w:autoRedefine/>
    <w:unhideWhenUsed/>
    <w:qFormat/>
    <w:uiPriority w:val="0"/>
    <w:pPr>
      <w:keepNext/>
      <w:keepLines/>
      <w:spacing w:before="100" w:line="360" w:lineRule="auto"/>
      <w:ind w:firstLine="0" w:firstLineChars="0"/>
      <w:outlineLvl w:val="2"/>
    </w:pPr>
    <w:rPr>
      <w:b/>
      <w:sz w:val="28"/>
    </w:rPr>
  </w:style>
  <w:style w:type="paragraph" w:styleId="7">
    <w:name w:val="heading 4"/>
    <w:basedOn w:val="1"/>
    <w:next w:val="1"/>
    <w:link w:val="28"/>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unhideWhenUsed/>
    <w:qFormat/>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2">
    <w:name w:val="Message Header"/>
    <w:basedOn w:val="1"/>
    <w:next w:val="3"/>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eastAsia="宋体" w:cs="Cambria"/>
      <w:sz w:val="24"/>
    </w:rPr>
  </w:style>
  <w:style w:type="paragraph" w:styleId="3">
    <w:name w:val="Body Text"/>
    <w:basedOn w:val="1"/>
    <w:qFormat/>
    <w:uiPriority w:val="0"/>
    <w:pPr>
      <w:spacing w:after="120"/>
    </w:pPr>
    <w:rPr>
      <w:rFonts w:ascii="Times New Roman" w:hAnsi="Times New Roman" w:eastAsia="宋体" w:cs="Times New Roman"/>
    </w:rPr>
  </w:style>
  <w:style w:type="paragraph" w:styleId="8">
    <w:name w:val="caption"/>
    <w:basedOn w:val="1"/>
    <w:next w:val="1"/>
    <w:semiHidden/>
    <w:unhideWhenUsed/>
    <w:qFormat/>
    <w:uiPriority w:val="0"/>
    <w:rPr>
      <w:rFonts w:ascii="Arial" w:hAnsi="Arial" w:eastAsia="黑体"/>
      <w:sz w:val="20"/>
    </w:rPr>
  </w:style>
  <w:style w:type="paragraph" w:styleId="9">
    <w:name w:val="annotation text"/>
    <w:basedOn w:val="1"/>
    <w:link w:val="26"/>
    <w:autoRedefine/>
    <w:qFormat/>
    <w:uiPriority w:val="0"/>
    <w:pPr>
      <w:jc w:val="left"/>
    </w:pPr>
  </w:style>
  <w:style w:type="paragraph" w:styleId="10">
    <w:name w:val="footer"/>
    <w:basedOn w:val="1"/>
    <w:qFormat/>
    <w:uiPriority w:val="0"/>
    <w:pPr>
      <w:tabs>
        <w:tab w:val="center" w:pos="4153"/>
        <w:tab w:val="right" w:pos="8306"/>
      </w:tabs>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pacing w:line="240" w:lineRule="auto"/>
    </w:pPr>
    <w:rPr>
      <w:sz w:val="18"/>
    </w:rPr>
  </w:style>
  <w:style w:type="paragraph" w:styleId="12">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rPr>
  </w:style>
  <w:style w:type="paragraph" w:styleId="13">
    <w:name w:val="Normal (Web)"/>
    <w:basedOn w:val="1"/>
    <w:autoRedefine/>
    <w:qFormat/>
    <w:uiPriority w:val="0"/>
    <w:pPr>
      <w:spacing w:beforeAutospacing="1" w:afterAutospacing="1"/>
      <w:jc w:val="left"/>
    </w:pPr>
    <w:rPr>
      <w:rFonts w:cs="Times New Roman"/>
      <w:kern w:val="0"/>
      <w:sz w:val="24"/>
    </w:rPr>
  </w:style>
  <w:style w:type="paragraph" w:styleId="14">
    <w:name w:val="Title"/>
    <w:basedOn w:val="1"/>
    <w:next w:val="1"/>
    <w:link w:val="25"/>
    <w:autoRedefine/>
    <w:qFormat/>
    <w:uiPriority w:val="10"/>
    <w:pPr>
      <w:numPr>
        <w:ilvl w:val="0"/>
        <w:numId w:val="2"/>
      </w:numPr>
      <w:adjustRightInd/>
      <w:snapToGrid/>
      <w:spacing w:before="240" w:after="60" w:line="240" w:lineRule="auto"/>
      <w:ind w:firstLine="0" w:firstLineChars="0"/>
      <w:jc w:val="center"/>
      <w:outlineLvl w:val="0"/>
    </w:pPr>
    <w:rPr>
      <w:rFonts w:ascii="宋体" w:hAnsi="宋体" w:eastAsia="宋体" w:cstheme="majorBidi"/>
      <w:b/>
      <w:bCs/>
      <w:szCs w:val="21"/>
    </w:rPr>
  </w:style>
  <w:style w:type="table" w:styleId="16">
    <w:name w:val="Table Grid"/>
    <w:basedOn w:val="15"/>
    <w:autoRedefine/>
    <w:qFormat/>
    <w:uiPriority w:val="3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autoRedefine/>
    <w:qFormat/>
    <w:uiPriority w:val="0"/>
    <w:rPr>
      <w:b/>
    </w:rPr>
  </w:style>
  <w:style w:type="character" w:styleId="19">
    <w:name w:val="Hyperlink"/>
    <w:basedOn w:val="17"/>
    <w:autoRedefine/>
    <w:qFormat/>
    <w:uiPriority w:val="0"/>
    <w:rPr>
      <w:color w:val="0000FF"/>
      <w:u w:val="single"/>
    </w:rPr>
  </w:style>
  <w:style w:type="character" w:customStyle="1" w:styleId="20">
    <w:name w:val="font11"/>
    <w:basedOn w:val="17"/>
    <w:autoRedefine/>
    <w:qFormat/>
    <w:uiPriority w:val="0"/>
    <w:rPr>
      <w:rFonts w:hint="default" w:ascii="方正黑体_GBK" w:hAnsi="方正黑体_GBK" w:eastAsia="方正黑体_GBK" w:cs="方正黑体_GBK"/>
      <w:color w:val="000000"/>
      <w:sz w:val="24"/>
      <w:szCs w:val="24"/>
      <w:u w:val="none"/>
    </w:rPr>
  </w:style>
  <w:style w:type="character" w:customStyle="1" w:styleId="21">
    <w:name w:val="font21"/>
    <w:basedOn w:val="17"/>
    <w:autoRedefine/>
    <w:qFormat/>
    <w:uiPriority w:val="0"/>
    <w:rPr>
      <w:rFonts w:hint="default" w:ascii="方正黑体_GBK" w:hAnsi="方正黑体_GBK" w:eastAsia="方正黑体_GBK" w:cs="方正黑体_GBK"/>
      <w:b/>
      <w:bCs/>
      <w:color w:val="000000"/>
      <w:sz w:val="24"/>
      <w:szCs w:val="24"/>
      <w:u w:val="none"/>
    </w:rPr>
  </w:style>
  <w:style w:type="character" w:customStyle="1" w:styleId="22">
    <w:name w:val="font31"/>
    <w:basedOn w:val="17"/>
    <w:autoRedefine/>
    <w:qFormat/>
    <w:uiPriority w:val="0"/>
    <w:rPr>
      <w:rFonts w:ascii="Arial" w:hAnsi="Arial" w:cs="Arial"/>
      <w:color w:val="000000"/>
      <w:sz w:val="24"/>
      <w:szCs w:val="24"/>
      <w:u w:val="none"/>
    </w:rPr>
  </w:style>
  <w:style w:type="paragraph" w:customStyle="1" w:styleId="23">
    <w:name w:val="表格"/>
    <w:basedOn w:val="1"/>
    <w:autoRedefine/>
    <w:qFormat/>
    <w:uiPriority w:val="0"/>
    <w:pPr>
      <w:widowControl/>
      <w:spacing w:line="240" w:lineRule="auto"/>
      <w:ind w:firstLine="0" w:firstLineChars="0"/>
      <w:jc w:val="center"/>
      <w:textAlignment w:val="center"/>
    </w:pPr>
    <w:rPr>
      <w:rFonts w:hint="eastAsia" w:ascii="宋体" w:hAnsi="宋体" w:eastAsia="宋体" w:cs="Times New Roman"/>
      <w:color w:val="000000"/>
      <w:kern w:val="0"/>
      <w:szCs w:val="22"/>
    </w:rPr>
  </w:style>
  <w:style w:type="character" w:customStyle="1" w:styleId="24">
    <w:name w:val="标题 3 字符"/>
    <w:link w:val="6"/>
    <w:autoRedefine/>
    <w:qFormat/>
    <w:uiPriority w:val="0"/>
    <w:rPr>
      <w:b/>
      <w:sz w:val="28"/>
    </w:rPr>
  </w:style>
  <w:style w:type="character" w:customStyle="1" w:styleId="25">
    <w:name w:val="标题 字符"/>
    <w:basedOn w:val="17"/>
    <w:link w:val="14"/>
    <w:qFormat/>
    <w:uiPriority w:val="10"/>
    <w:rPr>
      <w:rFonts w:ascii="宋体" w:hAnsi="宋体" w:cstheme="majorBidi"/>
      <w:b/>
      <w:bCs/>
      <w:kern w:val="2"/>
      <w:sz w:val="21"/>
      <w:szCs w:val="21"/>
    </w:rPr>
  </w:style>
  <w:style w:type="character" w:customStyle="1" w:styleId="26">
    <w:name w:val="批注文字 字符"/>
    <w:basedOn w:val="17"/>
    <w:link w:val="9"/>
    <w:autoRedefine/>
    <w:qFormat/>
    <w:uiPriority w:val="0"/>
    <w:rPr>
      <w:rFonts w:asciiTheme="minorHAnsi" w:hAnsiTheme="minorHAnsi" w:eastAsiaTheme="minorEastAsia" w:cstheme="minorBidi"/>
      <w:kern w:val="2"/>
      <w:sz w:val="21"/>
      <w:szCs w:val="24"/>
    </w:rPr>
  </w:style>
  <w:style w:type="paragraph" w:styleId="27">
    <w:name w:val="List Paragraph"/>
    <w:basedOn w:val="1"/>
    <w:unhideWhenUsed/>
    <w:uiPriority w:val="99"/>
    <w:pPr>
      <w:ind w:firstLine="420"/>
    </w:pPr>
  </w:style>
  <w:style w:type="character" w:customStyle="1" w:styleId="28">
    <w:name w:val="标题 4 字符"/>
    <w:basedOn w:val="17"/>
    <w:link w:val="7"/>
    <w:semiHidden/>
    <w:uiPriority w:val="0"/>
    <w:rPr>
      <w:rFonts w:asciiTheme="majorHAnsi" w:hAnsiTheme="majorHAnsi" w:eastAsiaTheme="majorEastAsia" w:cstheme="majorBidi"/>
      <w:b/>
      <w:bCs/>
      <w:kern w:val="2"/>
      <w:sz w:val="28"/>
      <w:szCs w:val="28"/>
    </w:rPr>
  </w:style>
  <w:style w:type="paragraph" w:customStyle="1" w:styleId="29">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6878</Words>
  <Characters>7308</Characters>
  <Lines>79</Lines>
  <Paragraphs>22</Paragraphs>
  <TotalTime>0</TotalTime>
  <ScaleCrop>false</ScaleCrop>
  <LinksUpToDate>false</LinksUpToDate>
  <CharactersWithSpaces>7405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2024-07-16T03:13:00Z</dcterms:created>
  <dc:creator>mzh</dc:creator>
  <cp:lastModifiedBy>陈斯蕾</cp:lastModifiedBy>
  <dcterms:modified xsi:type="dcterms:W3CDTF">2024-07-18T01:46:02Z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F70D7458DEBE46F2BFDD9588DDA45C6F_13</vt:lpwstr>
  </property>
</Properties>
</file>